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Pictur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530285EB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proofErr w:type="gramEnd"/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Pictur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1D8DD3C9" w14:textId="10669D10" w:rsidR="00AA7D26" w:rsidRPr="005E7C48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val="it-IT" w:eastAsia="it-IT"/>
              </w:rPr>
            </w:pPr>
            <w:r w:rsidRPr="003A6FC6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Pr="003A6FC6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r w:rsidR="005E7C48" w:rsidRPr="005E7C48">
              <w:rPr>
                <w:sz w:val="14"/>
                <w:szCs w:val="14"/>
                <w:lang w:val="it-IT"/>
              </w:rPr>
              <w:t>David Bogle, Flavio Manenti, Piero Salatino</w:t>
            </w:r>
          </w:p>
          <w:p w14:paraId="1B0F1814" w14:textId="6981DC84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2023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S.r.l.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97</w:t>
            </w:r>
            <w:r w:rsidR="008B7C03">
              <w:rPr>
                <w:rFonts w:ascii="Tahoma" w:hAnsi="Tahoma" w:cs="Tahoma"/>
                <w:sz w:val="14"/>
                <w:szCs w:val="14"/>
              </w:rPr>
              <w:t>9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8B7C03">
              <w:rPr>
                <w:rFonts w:ascii="Tahoma" w:hAnsi="Tahoma" w:cs="Tahoma"/>
                <w:sz w:val="14"/>
                <w:szCs w:val="14"/>
              </w:rPr>
              <w:t>12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8B7C03">
              <w:rPr>
                <w:rFonts w:ascii="Tahoma" w:hAnsi="Tahoma" w:cs="Tahoma"/>
                <w:sz w:val="14"/>
                <w:szCs w:val="14"/>
              </w:rPr>
              <w:t>81206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="00E33DD7">
              <w:rPr>
                <w:rFonts w:ascii="Tahoma" w:hAnsi="Tahoma" w:cs="Tahoma"/>
                <w:sz w:val="14"/>
                <w:szCs w:val="14"/>
              </w:rPr>
              <w:t>0</w:t>
            </w:r>
            <w:r w:rsidR="005E7C48">
              <w:rPr>
                <w:rFonts w:ascii="Tahoma" w:hAnsi="Tahoma" w:cs="Tahoma"/>
                <w:sz w:val="14"/>
                <w:szCs w:val="14"/>
              </w:rPr>
              <w:t>4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="005E7C48">
              <w:rPr>
                <w:rFonts w:ascii="Tahoma" w:hAnsi="Tahoma" w:cs="Tahoma"/>
                <w:sz w:val="14"/>
                <w:szCs w:val="14"/>
              </w:rPr>
              <w:t>5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6EFF1F9B" w14:textId="56C15BE5" w:rsidR="009914E7" w:rsidRDefault="00990186" w:rsidP="009914E7">
      <w:pPr>
        <w:pStyle w:val="CETTitle"/>
        <w:spacing w:before="120" w:after="0"/>
      </w:pPr>
      <w:r w:rsidRPr="00BE5A7E">
        <w:t xml:space="preserve">The </w:t>
      </w:r>
      <w:r w:rsidR="00526E33" w:rsidRPr="00BE5A7E">
        <w:t>Digital Process Monitor (DPM):</w:t>
      </w:r>
    </w:p>
    <w:p w14:paraId="2E667253" w14:textId="543421BD" w:rsidR="00E978D0" w:rsidRPr="00BE5A7E" w:rsidRDefault="00526E33" w:rsidP="009914E7">
      <w:pPr>
        <w:pStyle w:val="CETTitle"/>
        <w:spacing w:before="0"/>
      </w:pPr>
      <w:r w:rsidRPr="00BE5A7E">
        <w:t xml:space="preserve">digitalization </w:t>
      </w:r>
      <w:r w:rsidR="00B25C3C">
        <w:t xml:space="preserve">for </w:t>
      </w:r>
      <w:r w:rsidRPr="00BE5A7E">
        <w:t xml:space="preserve">process and environmental </w:t>
      </w:r>
      <w:r w:rsidR="00E77AE4" w:rsidRPr="00BE5A7E">
        <w:t>excellence.</w:t>
      </w:r>
    </w:p>
    <w:p w14:paraId="0488FED2" w14:textId="2D280E66" w:rsidR="00B57E6F" w:rsidRPr="00366AD8" w:rsidRDefault="00146758" w:rsidP="00B57E6F">
      <w:pPr>
        <w:pStyle w:val="CETAuthors"/>
        <w:rPr>
          <w:lang w:val="it-IT"/>
        </w:rPr>
      </w:pPr>
      <w:r w:rsidRPr="00695499">
        <w:rPr>
          <w:lang w:val="it-IT"/>
        </w:rPr>
        <w:t>Antonelli M</w:t>
      </w:r>
      <w:r w:rsidR="00BE5A7E" w:rsidRPr="00695499">
        <w:rPr>
          <w:lang w:val="it-IT"/>
        </w:rPr>
        <w:t>enica</w:t>
      </w:r>
      <w:r w:rsidRPr="00695499">
        <w:rPr>
          <w:lang w:val="it-IT"/>
        </w:rPr>
        <w:t>, Boni D</w:t>
      </w:r>
      <w:r w:rsidR="00BE5A7E" w:rsidRPr="00695499">
        <w:rPr>
          <w:lang w:val="it-IT"/>
        </w:rPr>
        <w:t>aniela</w:t>
      </w:r>
      <w:r w:rsidRPr="00695499">
        <w:rPr>
          <w:lang w:val="it-IT"/>
        </w:rPr>
        <w:t>, Costantini A</w:t>
      </w:r>
      <w:r w:rsidR="00BE5A7E" w:rsidRPr="00695499">
        <w:rPr>
          <w:lang w:val="it-IT"/>
        </w:rPr>
        <w:t>rmando</w:t>
      </w:r>
      <w:r w:rsidRPr="00695499">
        <w:rPr>
          <w:lang w:val="it-IT"/>
        </w:rPr>
        <w:t>, Galdieri G</w:t>
      </w:r>
      <w:r w:rsidR="00BE5A7E" w:rsidRPr="00695499">
        <w:rPr>
          <w:lang w:val="it-IT"/>
        </w:rPr>
        <w:t>iulio</w:t>
      </w:r>
      <w:r w:rsidRPr="00695499">
        <w:rPr>
          <w:lang w:val="it-IT"/>
        </w:rPr>
        <w:t xml:space="preserve">, Pasqualon </w:t>
      </w:r>
      <w:r w:rsidRPr="00366AD8">
        <w:rPr>
          <w:lang w:val="it-IT"/>
        </w:rPr>
        <w:t>E</w:t>
      </w:r>
      <w:r w:rsidR="00BE5A7E" w:rsidRPr="00366AD8">
        <w:rPr>
          <w:lang w:val="it-IT"/>
        </w:rPr>
        <w:t>zio</w:t>
      </w:r>
      <w:r w:rsidRPr="00366AD8">
        <w:rPr>
          <w:lang w:val="it-IT"/>
        </w:rPr>
        <w:t>, Romagnuolo S</w:t>
      </w:r>
      <w:r w:rsidR="00BE5A7E" w:rsidRPr="00366AD8">
        <w:rPr>
          <w:lang w:val="it-IT"/>
        </w:rPr>
        <w:t>alvatore</w:t>
      </w:r>
      <w:r w:rsidRPr="00366AD8">
        <w:rPr>
          <w:lang w:val="it-IT"/>
        </w:rPr>
        <w:t>.</w:t>
      </w:r>
    </w:p>
    <w:p w14:paraId="1EFBA591" w14:textId="7B12DB75" w:rsidR="00072A2E" w:rsidRPr="00366AD8" w:rsidRDefault="00B83562" w:rsidP="00B57E6F">
      <w:pPr>
        <w:pStyle w:val="CETAddress"/>
        <w:rPr>
          <w:lang w:val="it-IT"/>
        </w:rPr>
      </w:pPr>
      <w:r>
        <w:rPr>
          <w:lang w:val="it-IT"/>
        </w:rPr>
        <w:t xml:space="preserve">KT - </w:t>
      </w:r>
      <w:r w:rsidR="00695499" w:rsidRPr="00366AD8">
        <w:rPr>
          <w:lang w:val="it-IT"/>
        </w:rPr>
        <w:t>Kinetics Technology</w:t>
      </w:r>
      <w:r w:rsidR="005D7044" w:rsidRPr="00366AD8">
        <w:rPr>
          <w:lang w:val="it-IT"/>
        </w:rPr>
        <w:t xml:space="preserve"> SpA</w:t>
      </w:r>
      <w:r w:rsidR="00695499" w:rsidRPr="00366AD8">
        <w:rPr>
          <w:lang w:val="it-IT"/>
        </w:rPr>
        <w:t xml:space="preserve">, </w:t>
      </w:r>
      <w:r w:rsidR="00C265A3" w:rsidRPr="00366AD8">
        <w:rPr>
          <w:lang w:val="it-IT"/>
        </w:rPr>
        <w:t>Via Castello della Magliana 27, 00148 Rom</w:t>
      </w:r>
      <w:r w:rsidR="00366AD8" w:rsidRPr="00366AD8">
        <w:rPr>
          <w:lang w:val="it-IT"/>
        </w:rPr>
        <w:t>a, Italy</w:t>
      </w:r>
    </w:p>
    <w:p w14:paraId="14F67915" w14:textId="0145413B" w:rsidR="00C265A3" w:rsidRPr="00366AD8" w:rsidRDefault="00C265A3" w:rsidP="00B57E6F">
      <w:pPr>
        <w:pStyle w:val="CETAddress"/>
        <w:rPr>
          <w:lang w:val="it-IT"/>
        </w:rPr>
      </w:pPr>
      <w:r w:rsidRPr="00366AD8">
        <w:rPr>
          <w:lang w:val="it-IT"/>
        </w:rPr>
        <w:t xml:space="preserve">Maire Tecnimont SpA, </w:t>
      </w:r>
      <w:r w:rsidR="00366AD8" w:rsidRPr="00366AD8">
        <w:rPr>
          <w:lang w:val="it-IT"/>
        </w:rPr>
        <w:t>Via Gaetano De Castillia 6/A, 20124 Milano, Italy</w:t>
      </w:r>
    </w:p>
    <w:p w14:paraId="7513D089" w14:textId="77777777" w:rsidR="00F7473D" w:rsidRPr="001A2472" w:rsidRDefault="00F7473D" w:rsidP="00026EB9">
      <w:pPr>
        <w:spacing w:line="276" w:lineRule="auto"/>
        <w:rPr>
          <w:lang w:val="it-IT"/>
        </w:rPr>
      </w:pPr>
    </w:p>
    <w:p w14:paraId="2BB85B7A" w14:textId="71608199" w:rsidR="00CB51D3" w:rsidRDefault="00CB51D3" w:rsidP="00026EB9">
      <w:pPr>
        <w:spacing w:line="276" w:lineRule="auto"/>
      </w:pPr>
      <w:r w:rsidRPr="00CB51D3">
        <w:t xml:space="preserve">The energy transition is leading companies to rethink their business models and the efficiency of their plants, </w:t>
      </w:r>
      <w:r w:rsidR="00B25C3C">
        <w:t xml:space="preserve">making </w:t>
      </w:r>
      <w:r w:rsidRPr="00CB51D3">
        <w:t xml:space="preserve">every </w:t>
      </w:r>
      <w:r w:rsidR="00736CFB" w:rsidRPr="00CB51D3">
        <w:t>savings</w:t>
      </w:r>
      <w:r w:rsidRPr="00CB51D3">
        <w:t xml:space="preserve"> in terms of energy consumption, emissions, improved plant availability and reliability more crucial than ever. Even the energy sector, and in particular the hydrocarbon processing industry</w:t>
      </w:r>
      <w:r w:rsidR="00B25C3C">
        <w:t xml:space="preserve"> --</w:t>
      </w:r>
      <w:r w:rsidRPr="00CB51D3">
        <w:t xml:space="preserve"> well known for having been primarily a product-oriented industry with high margi</w:t>
      </w:r>
      <w:r w:rsidR="00B25C3C">
        <w:t>ns --</w:t>
      </w:r>
      <w:r w:rsidRPr="00CB51D3">
        <w:t xml:space="preserve"> is changing its vision as the striving for process and environmental excellence has become the only acceptable way to achieve a 'sustainable industry'.</w:t>
      </w:r>
    </w:p>
    <w:p w14:paraId="591AD492" w14:textId="08661EB3" w:rsidR="004D189F" w:rsidRDefault="004D189F" w:rsidP="00026EB9">
      <w:pPr>
        <w:spacing w:line="276" w:lineRule="auto"/>
      </w:pPr>
      <w:r w:rsidRPr="004D189F">
        <w:t xml:space="preserve">The pursuit of operational excellence requires continuous process monitoring, together with qualified analysis of the collected data. In this framework, digital technologies can play </w:t>
      </w:r>
      <w:r w:rsidR="006521B1" w:rsidRPr="004D189F">
        <w:t>a significant role</w:t>
      </w:r>
      <w:r w:rsidRPr="004D189F">
        <w:t xml:space="preserve"> in </w:t>
      </w:r>
      <w:r w:rsidR="00B25C3C">
        <w:t>facilitating</w:t>
      </w:r>
      <w:r w:rsidRPr="004D189F">
        <w:t xml:space="preserve"> the adaptation of companies to this new and challenging industrial model.</w:t>
      </w:r>
    </w:p>
    <w:p w14:paraId="2174A70F" w14:textId="6A044493" w:rsidR="00026EB9" w:rsidRPr="007F6395" w:rsidRDefault="00026EB9" w:rsidP="00026EB9">
      <w:pPr>
        <w:spacing w:line="276" w:lineRule="auto"/>
      </w:pPr>
      <w:r>
        <w:t>Digital Process Monitor (DPM), introduced by Kinetics Technology</w:t>
      </w:r>
      <w:r w:rsidR="40B9779C">
        <w:t xml:space="preserve"> (KT)</w:t>
      </w:r>
      <w:r w:rsidR="72743E4D">
        <w:t>,</w:t>
      </w:r>
      <w:r>
        <w:t xml:space="preserve"> part of Maire Tecnimont group, provides a Process Digital Twin</w:t>
      </w:r>
      <w:r w:rsidR="00B25C3C">
        <w:t xml:space="preserve"> which consists of </w:t>
      </w:r>
      <w:r w:rsidRPr="007F6395">
        <w:t>an accurate process plant model</w:t>
      </w:r>
      <w:r>
        <w:t>,</w:t>
      </w:r>
      <w:r w:rsidRPr="007F6395">
        <w:t xml:space="preserve"> </w:t>
      </w:r>
      <w:r w:rsidR="00B25C3C">
        <w:t>that</w:t>
      </w:r>
      <w:r w:rsidR="72430AB1">
        <w:t xml:space="preserve">, </w:t>
      </w:r>
      <w:r w:rsidR="72430AB1" w:rsidRPr="173598CB">
        <w:rPr>
          <w:rFonts w:eastAsia="Arial" w:cs="Arial"/>
        </w:rPr>
        <w:t xml:space="preserve">by incorporating the licensor’s </w:t>
      </w:r>
      <w:r w:rsidR="006521B1" w:rsidRPr="173598CB">
        <w:rPr>
          <w:rFonts w:eastAsia="Arial" w:cs="Arial"/>
        </w:rPr>
        <w:t>knowledge</w:t>
      </w:r>
      <w:r w:rsidR="72430AB1" w:rsidRPr="173598CB">
        <w:rPr>
          <w:rFonts w:eastAsia="Arial" w:cs="Arial"/>
        </w:rPr>
        <w:t xml:space="preserve">, </w:t>
      </w:r>
      <w:r w:rsidRPr="007F6395">
        <w:t>can provide continuous insight</w:t>
      </w:r>
      <w:r>
        <w:t>s</w:t>
      </w:r>
      <w:r w:rsidRPr="007F6395">
        <w:t xml:space="preserve"> </w:t>
      </w:r>
      <w:r w:rsidR="00B25C3C">
        <w:t xml:space="preserve">into </w:t>
      </w:r>
      <w:r w:rsidRPr="007F6395">
        <w:t>plant performance</w:t>
      </w:r>
      <w:r>
        <w:t>. P</w:t>
      </w:r>
      <w:r w:rsidRPr="007F6395">
        <w:t>rocess data are captured from the plant to feed a digital replica of plant processes</w:t>
      </w:r>
      <w:r>
        <w:t xml:space="preserve">, </w:t>
      </w:r>
      <w:r w:rsidR="12902C86" w:rsidRPr="173598CB">
        <w:rPr>
          <w:rFonts w:eastAsia="Arial" w:cs="Arial"/>
        </w:rPr>
        <w:t>unlocking</w:t>
      </w:r>
      <w:r w:rsidRPr="173598CB">
        <w:rPr>
          <w:rFonts w:eastAsia="Arial" w:cs="Arial"/>
        </w:rPr>
        <w:t xml:space="preserve"> operational excellence </w:t>
      </w:r>
      <w:r w:rsidR="12902C86" w:rsidRPr="173598CB">
        <w:rPr>
          <w:rFonts w:eastAsia="Arial" w:cs="Arial"/>
        </w:rPr>
        <w:t>through increased</w:t>
      </w:r>
      <w:r w:rsidRPr="173598CB">
        <w:rPr>
          <w:rFonts w:eastAsia="Arial" w:cs="Arial"/>
        </w:rPr>
        <w:t xml:space="preserve"> productivity and energy savings</w:t>
      </w:r>
      <w:r w:rsidR="12902C86" w:rsidRPr="173598CB">
        <w:rPr>
          <w:rFonts w:eastAsia="Arial" w:cs="Arial"/>
        </w:rPr>
        <w:t xml:space="preserve"> with a consequent</w:t>
      </w:r>
      <w:r w:rsidRPr="173598CB">
        <w:rPr>
          <w:rFonts w:eastAsia="Arial" w:cs="Arial"/>
        </w:rPr>
        <w:t xml:space="preserve"> reduction </w:t>
      </w:r>
      <w:r w:rsidR="12902C86" w:rsidRPr="173598CB">
        <w:rPr>
          <w:rFonts w:eastAsia="Arial" w:cs="Arial"/>
        </w:rPr>
        <w:t>in</w:t>
      </w:r>
      <w:r w:rsidRPr="173598CB">
        <w:rPr>
          <w:rFonts w:eastAsia="Arial" w:cs="Arial"/>
        </w:rPr>
        <w:t xml:space="preserve"> the </w:t>
      </w:r>
      <w:r w:rsidR="12902C86" w:rsidRPr="173598CB">
        <w:rPr>
          <w:rFonts w:eastAsia="Arial" w:cs="Arial"/>
        </w:rPr>
        <w:t>plant’s</w:t>
      </w:r>
      <w:r w:rsidRPr="173598CB">
        <w:rPr>
          <w:rFonts w:eastAsia="Arial" w:cs="Arial"/>
        </w:rPr>
        <w:t xml:space="preserve"> carbon footprint.</w:t>
      </w:r>
      <w:r>
        <w:t xml:space="preserve"> </w:t>
      </w:r>
    </w:p>
    <w:p w14:paraId="49787EAB" w14:textId="0C05D4BE" w:rsidR="001C5E1D" w:rsidRPr="004506A4" w:rsidRDefault="00026EB9" w:rsidP="023CB455">
      <w:pPr>
        <w:spacing w:line="276" w:lineRule="auto"/>
      </w:pPr>
      <w:r>
        <w:t>This paper provide</w:t>
      </w:r>
      <w:r w:rsidR="00CF6EA7">
        <w:t>s</w:t>
      </w:r>
      <w:r>
        <w:t xml:space="preserve"> an overview of the DPM</w:t>
      </w:r>
      <w:r w:rsidR="00B25C3C">
        <w:t>’s</w:t>
      </w:r>
      <w:r>
        <w:t xml:space="preserve"> features</w:t>
      </w:r>
      <w:r w:rsidR="00B25C3C">
        <w:t>,</w:t>
      </w:r>
      <w:r>
        <w:t xml:space="preserve"> focusing on the related benefits in terms of overall operational improvements and plant efficiency for </w:t>
      </w:r>
      <w:r w:rsidR="72743E4D">
        <w:t>K</w:t>
      </w:r>
      <w:r w:rsidR="106A6DFC">
        <w:t>T</w:t>
      </w:r>
      <w:r>
        <w:t xml:space="preserve"> licensed </w:t>
      </w:r>
      <w:r w:rsidR="004C6899">
        <w:t xml:space="preserve">process units based on </w:t>
      </w:r>
      <w:r w:rsidR="008F298F" w:rsidRPr="004506A4">
        <w:t>s</w:t>
      </w:r>
      <w:r w:rsidR="008F298F" w:rsidRPr="004506A4">
        <w:rPr>
          <w:rFonts w:hint="cs"/>
        </w:rPr>
        <w:t xml:space="preserve">team </w:t>
      </w:r>
      <w:r w:rsidR="008F298F" w:rsidRPr="004506A4">
        <w:t>r</w:t>
      </w:r>
      <w:r w:rsidR="008F298F" w:rsidRPr="004506A4">
        <w:rPr>
          <w:rFonts w:hint="cs"/>
        </w:rPr>
        <w:t>eforming technology for Hydrogen and</w:t>
      </w:r>
      <w:r w:rsidR="008F298F" w:rsidRPr="004506A4">
        <w:t xml:space="preserve"> </w:t>
      </w:r>
      <w:r w:rsidR="008F298F" w:rsidRPr="004506A4">
        <w:rPr>
          <w:rFonts w:hint="cs"/>
        </w:rPr>
        <w:t xml:space="preserve">Syngas </w:t>
      </w:r>
      <w:r w:rsidR="008F298F" w:rsidRPr="004506A4">
        <w:t>p</w:t>
      </w:r>
      <w:r w:rsidR="008F298F" w:rsidRPr="004506A4">
        <w:rPr>
          <w:rFonts w:hint="cs"/>
        </w:rPr>
        <w:t>roduction</w:t>
      </w:r>
      <w:r w:rsidR="008F298F" w:rsidRPr="004506A4">
        <w:t xml:space="preserve"> </w:t>
      </w:r>
      <w:r w:rsidR="001C5E1D" w:rsidRPr="004506A4">
        <w:t>(HPU)</w:t>
      </w:r>
      <w:r w:rsidR="00B25C3C">
        <w:t>,</w:t>
      </w:r>
      <w:r w:rsidR="001C5E1D" w:rsidRPr="004506A4">
        <w:t xml:space="preserve"> and </w:t>
      </w:r>
      <w:r w:rsidR="004C6899">
        <w:t xml:space="preserve">respectively on </w:t>
      </w:r>
      <w:r w:rsidR="00945E5B" w:rsidRPr="004506A4">
        <w:rPr>
          <w:rFonts w:hint="cs"/>
        </w:rPr>
        <w:t>technology for the process of Gas Sweetening, Sulphur Recovery and Tail Gas Treatment</w:t>
      </w:r>
      <w:r w:rsidR="00945E5B" w:rsidRPr="004506A4">
        <w:t xml:space="preserve"> </w:t>
      </w:r>
      <w:r w:rsidR="001C5E1D" w:rsidRPr="004506A4">
        <w:t>(SRU)</w:t>
      </w:r>
      <w:r w:rsidRPr="004506A4">
        <w:t>.</w:t>
      </w:r>
      <w:r w:rsidR="00D23FA1">
        <w:t xml:space="preserve"> </w:t>
      </w:r>
      <w:r w:rsidR="0025148A">
        <w:t xml:space="preserve">Today, </w:t>
      </w:r>
      <w:r w:rsidR="00D23FA1">
        <w:t xml:space="preserve">DPM is </w:t>
      </w:r>
      <w:r w:rsidR="00A931CD">
        <w:t>at prototype stage,</w:t>
      </w:r>
      <w:r w:rsidR="002D06F1">
        <w:t xml:space="preserve"> ready to be </w:t>
      </w:r>
      <w:r w:rsidR="006521B1">
        <w:t>evaluated</w:t>
      </w:r>
      <w:r w:rsidR="002D06F1">
        <w:t xml:space="preserve"> into real plant. </w:t>
      </w:r>
    </w:p>
    <w:p w14:paraId="7118D965" w14:textId="2E6456C1" w:rsidR="00BF7F9F" w:rsidRDefault="00BF7F9F" w:rsidP="59D43593">
      <w:pPr>
        <w:pStyle w:val="CETHeading1"/>
      </w:pPr>
      <w:r>
        <w:t>Introduction</w:t>
      </w:r>
    </w:p>
    <w:p w14:paraId="548F85B5" w14:textId="484D0E8E" w:rsidR="25783F17" w:rsidRDefault="25783F17" w:rsidP="4CBB38D8">
      <w:pPr>
        <w:spacing w:line="276" w:lineRule="auto"/>
        <w:rPr>
          <w:lang w:val="en-US"/>
        </w:rPr>
      </w:pPr>
      <w:r w:rsidRPr="59D43593">
        <w:rPr>
          <w:lang w:val="en-US"/>
        </w:rPr>
        <w:t>The digital economy is becoming a major focus for many businesses</w:t>
      </w:r>
      <w:r w:rsidR="004F3F40">
        <w:rPr>
          <w:lang w:val="en-US"/>
        </w:rPr>
        <w:t>,</w:t>
      </w:r>
      <w:r w:rsidR="11F1654C" w:rsidRPr="4CBB38D8">
        <w:rPr>
          <w:lang w:val="en-US"/>
        </w:rPr>
        <w:t xml:space="preserve"> from conventional hydrocarbon processing </w:t>
      </w:r>
      <w:r w:rsidR="4C17B0E1" w:rsidRPr="2D73CF2B">
        <w:rPr>
          <w:lang w:val="en-US"/>
        </w:rPr>
        <w:t>to</w:t>
      </w:r>
      <w:r w:rsidR="11F1654C" w:rsidRPr="4CBB38D8">
        <w:rPr>
          <w:lang w:val="en-US"/>
        </w:rPr>
        <w:t xml:space="preserve"> </w:t>
      </w:r>
      <w:r w:rsidR="004F3F40">
        <w:rPr>
          <w:lang w:val="en-US"/>
        </w:rPr>
        <w:t xml:space="preserve">the domain of </w:t>
      </w:r>
      <w:r w:rsidR="11F1654C" w:rsidRPr="4CBB38D8">
        <w:rPr>
          <w:lang w:val="en-US"/>
        </w:rPr>
        <w:t>green chemistry</w:t>
      </w:r>
      <w:r w:rsidRPr="4CBB38D8">
        <w:rPr>
          <w:lang w:val="en-US"/>
        </w:rPr>
        <w:t xml:space="preserve">. </w:t>
      </w:r>
    </w:p>
    <w:p w14:paraId="17CBDBB7" w14:textId="20BEF0FB" w:rsidR="005A69FD" w:rsidRDefault="005A69FD" w:rsidP="2D2FD5C6">
      <w:pPr>
        <w:spacing w:line="276" w:lineRule="auto"/>
        <w:rPr>
          <w:rFonts w:eastAsia="Arial" w:cs="Arial"/>
          <w:lang w:val="en-US"/>
        </w:rPr>
      </w:pPr>
      <w:r w:rsidRPr="005A69FD">
        <w:rPr>
          <w:rFonts w:eastAsia="Arial" w:cs="Arial"/>
          <w:lang w:val="en-US"/>
        </w:rPr>
        <w:t xml:space="preserve">Operating a plant is always challenging, and good management translates into improved safety and profitability. But </w:t>
      </w:r>
      <w:r w:rsidR="005242B4">
        <w:rPr>
          <w:rFonts w:eastAsia="Arial" w:cs="Arial"/>
          <w:lang w:val="en-US"/>
        </w:rPr>
        <w:t>u</w:t>
      </w:r>
      <w:r w:rsidR="005242B4" w:rsidRPr="005242B4">
        <w:rPr>
          <w:rFonts w:eastAsia="Arial" w:cs="Arial"/>
          <w:lang w:val="en-US"/>
        </w:rPr>
        <w:t>nawareness of operators</w:t>
      </w:r>
      <w:r w:rsidR="005B0991">
        <w:rPr>
          <w:rFonts w:eastAsia="Arial" w:cs="Arial"/>
          <w:lang w:val="en-US"/>
        </w:rPr>
        <w:t xml:space="preserve"> can be</w:t>
      </w:r>
      <w:r w:rsidRPr="005A69FD">
        <w:rPr>
          <w:rFonts w:eastAsia="Arial" w:cs="Arial"/>
          <w:lang w:val="en-US"/>
        </w:rPr>
        <w:t xml:space="preserve"> </w:t>
      </w:r>
      <w:r w:rsidR="008B46C9">
        <w:rPr>
          <w:rFonts w:eastAsia="Arial" w:cs="Arial"/>
          <w:lang w:val="en-US"/>
        </w:rPr>
        <w:t xml:space="preserve">sometimes </w:t>
      </w:r>
      <w:r w:rsidRPr="005A69FD">
        <w:rPr>
          <w:rFonts w:eastAsia="Arial" w:cs="Arial"/>
          <w:lang w:val="en-US"/>
        </w:rPr>
        <w:t xml:space="preserve">a critical factor </w:t>
      </w:r>
      <w:r w:rsidR="00F947C7" w:rsidRPr="00F947C7">
        <w:rPr>
          <w:rFonts w:eastAsia="Arial" w:cs="Arial"/>
          <w:lang w:val="en-US"/>
        </w:rPr>
        <w:t xml:space="preserve">potentially leading to </w:t>
      </w:r>
      <w:r w:rsidRPr="005A69FD">
        <w:rPr>
          <w:rFonts w:eastAsia="Arial" w:cs="Arial"/>
          <w:lang w:val="en-US"/>
        </w:rPr>
        <w:t>loss of production, equipment damage and tarnished reputation; therefore, the adoption of digital tools, properly incorporating the know-how of the licens</w:t>
      </w:r>
      <w:r>
        <w:rPr>
          <w:rFonts w:eastAsia="Arial" w:cs="Arial"/>
          <w:lang w:val="en-US"/>
        </w:rPr>
        <w:t>ors</w:t>
      </w:r>
      <w:r w:rsidRPr="005A69FD">
        <w:rPr>
          <w:rFonts w:eastAsia="Arial" w:cs="Arial"/>
          <w:lang w:val="en-US"/>
        </w:rPr>
        <w:t>, can be an answer to this pain point and a practical way to unlock the reduction of plant operating expenses (OPEX) by increasing margins for the plant owner.</w:t>
      </w:r>
    </w:p>
    <w:p w14:paraId="75AA1A87" w14:textId="7F4E8A26" w:rsidR="00DC4287" w:rsidRDefault="00DC4287" w:rsidP="00DC4287">
      <w:pPr>
        <w:spacing w:line="276" w:lineRule="auto"/>
        <w:rPr>
          <w:rFonts w:eastAsia="Arial" w:cs="Arial"/>
          <w:lang w:val="en-US"/>
        </w:rPr>
      </w:pPr>
      <w:r w:rsidRPr="00DC4287">
        <w:rPr>
          <w:rFonts w:eastAsia="Arial" w:cs="Arial"/>
          <w:lang w:val="en-US"/>
        </w:rPr>
        <w:t xml:space="preserve">In addition, it has been observed that the contribution of digital tools in </w:t>
      </w:r>
      <w:r w:rsidR="00520FE7">
        <w:rPr>
          <w:rFonts w:eastAsia="Arial" w:cs="Arial"/>
          <w:lang w:val="en-US"/>
        </w:rPr>
        <w:t>assisting</w:t>
      </w:r>
      <w:r w:rsidR="00520FE7" w:rsidRPr="00DC4287">
        <w:rPr>
          <w:rFonts w:eastAsia="Arial" w:cs="Arial"/>
          <w:lang w:val="en-US"/>
        </w:rPr>
        <w:t xml:space="preserve"> </w:t>
      </w:r>
      <w:r w:rsidRPr="00DC4287">
        <w:rPr>
          <w:rFonts w:eastAsia="Arial" w:cs="Arial"/>
          <w:lang w:val="en-US"/>
        </w:rPr>
        <w:t xml:space="preserve">OPEX </w:t>
      </w:r>
      <w:r w:rsidR="00520FE7">
        <w:rPr>
          <w:rFonts w:eastAsia="Arial" w:cs="Arial"/>
          <w:lang w:val="en-US"/>
        </w:rPr>
        <w:t>reduction</w:t>
      </w:r>
      <w:r w:rsidRPr="00DC4287">
        <w:rPr>
          <w:rFonts w:eastAsia="Arial" w:cs="Arial"/>
          <w:lang w:val="en-US"/>
        </w:rPr>
        <w:t xml:space="preserve"> allows the initial investment required for their implementation to be recouped, as well as the recurring annual cost to maintain them, within the first year of operation. Therefore, a payback time of less than one year implies that the annual OPEX savings are ongoing benefits unlocked by digital technologies for the plant owner.</w:t>
      </w:r>
    </w:p>
    <w:p w14:paraId="7641373A" w14:textId="486DFF42" w:rsidR="00853B63" w:rsidRDefault="006B613D" w:rsidP="00853B63">
      <w:pPr>
        <w:pStyle w:val="CETHeading1"/>
      </w:pPr>
      <w:r>
        <w:lastRenderedPageBreak/>
        <w:t>D</w:t>
      </w:r>
      <w:r w:rsidR="006B781F">
        <w:t>igital Process Monitor Description</w:t>
      </w:r>
    </w:p>
    <w:p w14:paraId="4592BEE4" w14:textId="57C93FEC" w:rsidR="00F934BB" w:rsidRDefault="000C42BF" w:rsidP="00986B2C">
      <w:pPr>
        <w:pStyle w:val="CETheadingx"/>
      </w:pPr>
      <w:r>
        <w:t>DPM at a Glance</w:t>
      </w:r>
    </w:p>
    <w:p w14:paraId="12EA00F6" w14:textId="6001DC48" w:rsidR="00963BE8" w:rsidRDefault="00963BE8" w:rsidP="00B21D98">
      <w:pPr>
        <w:pStyle w:val="CETBodytext"/>
        <w:rPr>
          <w:rFonts w:eastAsiaTheme="minorHAnsi"/>
        </w:rPr>
      </w:pPr>
      <w:r w:rsidRPr="00963BE8">
        <w:rPr>
          <w:rFonts w:eastAsiaTheme="minorHAnsi"/>
        </w:rPr>
        <w:t>The DPM is a new digital functionality developed by KT with the support of Tecnimont, together with Stamicarbon (</w:t>
      </w:r>
      <w:r w:rsidR="00D30CFC">
        <w:rPr>
          <w:rFonts w:eastAsiaTheme="minorHAnsi"/>
        </w:rPr>
        <w:t xml:space="preserve">both </w:t>
      </w:r>
      <w:r w:rsidRPr="00963BE8">
        <w:rPr>
          <w:rFonts w:eastAsiaTheme="minorHAnsi"/>
        </w:rPr>
        <w:t>part of the Maire Tecnimont group) as technology partner</w:t>
      </w:r>
      <w:r>
        <w:rPr>
          <w:rFonts w:eastAsiaTheme="minorHAnsi"/>
        </w:rPr>
        <w:t xml:space="preserve"> </w:t>
      </w:r>
      <w:r w:rsidRPr="00963BE8">
        <w:rPr>
          <w:rFonts w:eastAsiaTheme="minorHAnsi"/>
        </w:rPr>
        <w:t xml:space="preserve">and based on the similar DPM developed by Stamicarbon for its urea production technology. This collaboration has fostered a commercial and technological </w:t>
      </w:r>
      <w:r w:rsidR="00C279AA" w:rsidRPr="00963BE8">
        <w:rPr>
          <w:rFonts w:eastAsiaTheme="minorHAnsi"/>
        </w:rPr>
        <w:t>cross-fertilization</w:t>
      </w:r>
      <w:r w:rsidR="004F3F40">
        <w:rPr>
          <w:rFonts w:eastAsiaTheme="minorHAnsi"/>
        </w:rPr>
        <w:t xml:space="preserve"> that benefits the entire</w:t>
      </w:r>
      <w:r w:rsidRPr="00963BE8">
        <w:rPr>
          <w:rFonts w:eastAsiaTheme="minorHAnsi"/>
        </w:rPr>
        <w:t xml:space="preserve"> Maire Tecnimont group</w:t>
      </w:r>
      <w:r w:rsidR="004F3F40">
        <w:rPr>
          <w:rFonts w:eastAsiaTheme="minorHAnsi"/>
        </w:rPr>
        <w:t xml:space="preserve">. </w:t>
      </w:r>
    </w:p>
    <w:p w14:paraId="17CB9AFB" w14:textId="05BE0CA4" w:rsidR="00B3633B" w:rsidRDefault="00C358EA" w:rsidP="00B21D98">
      <w:pPr>
        <w:pStyle w:val="CETBodytext"/>
        <w:rPr>
          <w:rFonts w:eastAsiaTheme="minorHAnsi"/>
        </w:rPr>
      </w:pPr>
      <w:r>
        <w:rPr>
          <w:rFonts w:eastAsiaTheme="minorHAnsi"/>
        </w:rPr>
        <w:t>T</w:t>
      </w:r>
      <w:r w:rsidR="00B21D98" w:rsidRPr="00B21D98">
        <w:rPr>
          <w:rFonts w:eastAsiaTheme="minorHAnsi"/>
        </w:rPr>
        <w:t xml:space="preserve">he </w:t>
      </w:r>
      <w:r>
        <w:rPr>
          <w:rFonts w:eastAsiaTheme="minorHAnsi"/>
        </w:rPr>
        <w:t>DPM</w:t>
      </w:r>
      <w:r w:rsidR="00B21D98" w:rsidRPr="00B21D98">
        <w:rPr>
          <w:rFonts w:eastAsiaTheme="minorHAnsi"/>
        </w:rPr>
        <w:t xml:space="preserve"> is a cloud</w:t>
      </w:r>
      <w:r w:rsidR="00851230">
        <w:rPr>
          <w:rFonts w:eastAsiaTheme="minorHAnsi"/>
        </w:rPr>
        <w:t>-</w:t>
      </w:r>
      <w:r w:rsidR="00B21D98" w:rsidRPr="00B21D98">
        <w:rPr>
          <w:rFonts w:eastAsiaTheme="minorHAnsi"/>
        </w:rPr>
        <w:t>based solution</w:t>
      </w:r>
      <w:r w:rsidR="004F3F40">
        <w:rPr>
          <w:rFonts w:eastAsiaTheme="minorHAnsi"/>
        </w:rPr>
        <w:t xml:space="preserve">. At its center is </w:t>
      </w:r>
      <w:r w:rsidR="00B21D98" w:rsidRPr="00B21D98">
        <w:rPr>
          <w:rFonts w:eastAsiaTheme="minorHAnsi"/>
        </w:rPr>
        <w:t xml:space="preserve">a </w:t>
      </w:r>
      <w:r w:rsidR="0084480E">
        <w:rPr>
          <w:rFonts w:eastAsiaTheme="minorHAnsi"/>
        </w:rPr>
        <w:t>first</w:t>
      </w:r>
      <w:r w:rsidR="000971B4">
        <w:rPr>
          <w:rFonts w:eastAsiaTheme="minorHAnsi"/>
        </w:rPr>
        <w:t>-</w:t>
      </w:r>
      <w:r w:rsidR="0084480E">
        <w:rPr>
          <w:rFonts w:eastAsiaTheme="minorHAnsi"/>
        </w:rPr>
        <w:t>principle</w:t>
      </w:r>
      <w:r w:rsidR="000971B4">
        <w:rPr>
          <w:rFonts w:eastAsiaTheme="minorHAnsi"/>
        </w:rPr>
        <w:t>s</w:t>
      </w:r>
      <w:r w:rsidR="0084480E">
        <w:rPr>
          <w:rFonts w:eastAsiaTheme="minorHAnsi"/>
        </w:rPr>
        <w:t xml:space="preserve"> </w:t>
      </w:r>
      <w:r w:rsidR="00B21D98" w:rsidRPr="00B21D98">
        <w:rPr>
          <w:rFonts w:eastAsiaTheme="minorHAnsi"/>
        </w:rPr>
        <w:t xml:space="preserve">plant model where all of the most important phenomena are </w:t>
      </w:r>
      <w:r w:rsidR="00F56FE2" w:rsidRPr="00B21D98">
        <w:rPr>
          <w:rFonts w:eastAsiaTheme="minorHAnsi"/>
        </w:rPr>
        <w:t>rigorously</w:t>
      </w:r>
      <w:r w:rsidR="00B21D98" w:rsidRPr="00B21D98">
        <w:rPr>
          <w:rFonts w:eastAsiaTheme="minorHAnsi"/>
        </w:rPr>
        <w:t xml:space="preserve"> simulated</w:t>
      </w:r>
      <w:r w:rsidR="00750FB5">
        <w:rPr>
          <w:rFonts w:eastAsiaTheme="minorHAnsi"/>
        </w:rPr>
        <w:t xml:space="preserve"> leveraging on KT</w:t>
      </w:r>
      <w:r w:rsidR="004F3F40">
        <w:rPr>
          <w:rFonts w:eastAsiaTheme="minorHAnsi"/>
        </w:rPr>
        <w:t>’s</w:t>
      </w:r>
      <w:r w:rsidR="00750FB5">
        <w:rPr>
          <w:rFonts w:eastAsiaTheme="minorHAnsi"/>
        </w:rPr>
        <w:t xml:space="preserve"> </w:t>
      </w:r>
      <w:r w:rsidR="0041619A">
        <w:rPr>
          <w:rFonts w:eastAsiaTheme="minorHAnsi"/>
        </w:rPr>
        <w:t xml:space="preserve">unique </w:t>
      </w:r>
      <w:r w:rsidR="00750FB5">
        <w:rPr>
          <w:rFonts w:eastAsiaTheme="minorHAnsi"/>
        </w:rPr>
        <w:t>know how as licensor</w:t>
      </w:r>
      <w:r w:rsidR="004F3F40">
        <w:rPr>
          <w:rFonts w:eastAsiaTheme="minorHAnsi"/>
        </w:rPr>
        <w:t xml:space="preserve">, thereby </w:t>
      </w:r>
      <w:r w:rsidR="00B3633B" w:rsidRPr="00B3633B">
        <w:rPr>
          <w:rFonts w:eastAsiaTheme="minorHAnsi"/>
        </w:rPr>
        <w:t>guarantee</w:t>
      </w:r>
      <w:r w:rsidR="004F3F40">
        <w:rPr>
          <w:rFonts w:eastAsiaTheme="minorHAnsi"/>
        </w:rPr>
        <w:t>ing</w:t>
      </w:r>
      <w:r w:rsidR="00B3633B" w:rsidRPr="00B3633B">
        <w:rPr>
          <w:rFonts w:eastAsiaTheme="minorHAnsi"/>
        </w:rPr>
        <w:t xml:space="preserve"> the highest level of accuracy and adherence between the model response and the behavior actually observed in reality</w:t>
      </w:r>
      <w:r w:rsidR="00B3633B">
        <w:rPr>
          <w:rFonts w:eastAsiaTheme="minorHAnsi"/>
        </w:rPr>
        <w:t>.</w:t>
      </w:r>
    </w:p>
    <w:p w14:paraId="3A1DAA02" w14:textId="0CA9CC3D" w:rsidR="00FE015A" w:rsidRPr="00B578C5" w:rsidRDefault="00D878F1" w:rsidP="00B21D98">
      <w:pPr>
        <w:pStyle w:val="CETBodytext"/>
        <w:rPr>
          <w:rFonts w:eastAsiaTheme="minorHAnsi"/>
        </w:rPr>
      </w:pPr>
      <w:r>
        <w:rPr>
          <w:rFonts w:eastAsiaTheme="minorHAnsi"/>
        </w:rPr>
        <w:t>T</w:t>
      </w:r>
      <w:r w:rsidR="00B21D98" w:rsidRPr="00B21D98">
        <w:rPr>
          <w:rFonts w:eastAsiaTheme="minorHAnsi"/>
        </w:rPr>
        <w:t xml:space="preserve">he model is fed with data </w:t>
      </w:r>
      <w:r w:rsidR="00E50B96">
        <w:rPr>
          <w:rFonts w:eastAsiaTheme="minorHAnsi"/>
        </w:rPr>
        <w:t xml:space="preserve">derived </w:t>
      </w:r>
      <w:r w:rsidR="00B21D98" w:rsidRPr="00B21D98">
        <w:rPr>
          <w:rFonts w:eastAsiaTheme="minorHAnsi"/>
        </w:rPr>
        <w:t xml:space="preserve">from the plant's </w:t>
      </w:r>
      <w:r w:rsidR="00E50B96">
        <w:rPr>
          <w:rFonts w:eastAsiaTheme="minorHAnsi"/>
        </w:rPr>
        <w:t>D</w:t>
      </w:r>
      <w:r w:rsidR="00B21D98" w:rsidRPr="00B21D98">
        <w:rPr>
          <w:rFonts w:eastAsiaTheme="minorHAnsi"/>
        </w:rPr>
        <w:t xml:space="preserve">istributed </w:t>
      </w:r>
      <w:r w:rsidR="00E50B96">
        <w:rPr>
          <w:rFonts w:eastAsiaTheme="minorHAnsi"/>
        </w:rPr>
        <w:t>C</w:t>
      </w:r>
      <w:r w:rsidR="00B21D98" w:rsidRPr="00B21D98">
        <w:rPr>
          <w:rFonts w:eastAsiaTheme="minorHAnsi"/>
        </w:rPr>
        <w:t xml:space="preserve">ontrol </w:t>
      </w:r>
      <w:r w:rsidR="00E50B96">
        <w:rPr>
          <w:rFonts w:eastAsiaTheme="minorHAnsi"/>
        </w:rPr>
        <w:t>S</w:t>
      </w:r>
      <w:r w:rsidR="00B21D98" w:rsidRPr="00B21D98">
        <w:rPr>
          <w:rFonts w:eastAsiaTheme="minorHAnsi"/>
        </w:rPr>
        <w:t xml:space="preserve">ystem </w:t>
      </w:r>
      <w:r w:rsidR="00E50B96">
        <w:rPr>
          <w:rFonts w:eastAsiaTheme="minorHAnsi"/>
        </w:rPr>
        <w:t xml:space="preserve">(DCS) </w:t>
      </w:r>
      <w:r w:rsidR="00B21D98" w:rsidRPr="00B21D98">
        <w:rPr>
          <w:rFonts w:eastAsiaTheme="minorHAnsi"/>
        </w:rPr>
        <w:t xml:space="preserve">through a unidirectional data flow. </w:t>
      </w:r>
      <w:r w:rsidR="000A3910">
        <w:rPr>
          <w:rFonts w:eastAsiaTheme="minorHAnsi"/>
        </w:rPr>
        <w:t>T</w:t>
      </w:r>
      <w:r w:rsidR="00B21D98" w:rsidRPr="00B21D98">
        <w:rPr>
          <w:rFonts w:eastAsiaTheme="minorHAnsi"/>
        </w:rPr>
        <w:t>he plant model</w:t>
      </w:r>
      <w:r w:rsidR="00EA116B">
        <w:rPr>
          <w:rFonts w:eastAsiaTheme="minorHAnsi"/>
        </w:rPr>
        <w:t xml:space="preserve"> </w:t>
      </w:r>
      <w:r w:rsidR="00B21D98" w:rsidRPr="00B21D98">
        <w:rPr>
          <w:rFonts w:eastAsiaTheme="minorHAnsi"/>
        </w:rPr>
        <w:t xml:space="preserve">unlocks valuable information that a </w:t>
      </w:r>
      <w:r w:rsidR="00797FF9">
        <w:rPr>
          <w:rFonts w:eastAsiaTheme="minorHAnsi"/>
        </w:rPr>
        <w:t>DCS</w:t>
      </w:r>
      <w:r w:rsidR="00B21D98" w:rsidRPr="00B21D98">
        <w:rPr>
          <w:rFonts w:eastAsiaTheme="minorHAnsi"/>
        </w:rPr>
        <w:t xml:space="preserve"> </w:t>
      </w:r>
      <w:r w:rsidR="004F3F40">
        <w:rPr>
          <w:rFonts w:eastAsiaTheme="minorHAnsi"/>
        </w:rPr>
        <w:t xml:space="preserve">alone </w:t>
      </w:r>
      <w:r w:rsidR="00B21D98" w:rsidRPr="00B21D98">
        <w:rPr>
          <w:rFonts w:eastAsiaTheme="minorHAnsi"/>
        </w:rPr>
        <w:t>cannot provide</w:t>
      </w:r>
      <w:r w:rsidR="004F3F40">
        <w:rPr>
          <w:rFonts w:eastAsiaTheme="minorHAnsi"/>
        </w:rPr>
        <w:t>,</w:t>
      </w:r>
      <w:r w:rsidR="00B21D98" w:rsidRPr="00B21D98">
        <w:rPr>
          <w:rFonts w:eastAsiaTheme="minorHAnsi"/>
        </w:rPr>
        <w:t xml:space="preserve"> and with both automated procedures and </w:t>
      </w:r>
      <w:r w:rsidR="004F3F40">
        <w:rPr>
          <w:rFonts w:eastAsiaTheme="minorHAnsi"/>
        </w:rPr>
        <w:t xml:space="preserve">the </w:t>
      </w:r>
      <w:r w:rsidR="00B21D98" w:rsidRPr="00B21D98">
        <w:rPr>
          <w:rFonts w:eastAsiaTheme="minorHAnsi"/>
        </w:rPr>
        <w:t>licensor</w:t>
      </w:r>
      <w:r w:rsidR="004F3F40">
        <w:rPr>
          <w:rFonts w:eastAsiaTheme="minorHAnsi"/>
        </w:rPr>
        <w:t>’</w:t>
      </w:r>
      <w:r w:rsidR="00B21D98" w:rsidRPr="00B21D98">
        <w:rPr>
          <w:rFonts w:eastAsiaTheme="minorHAnsi"/>
        </w:rPr>
        <w:t xml:space="preserve">s intervention provides recommendations </w:t>
      </w:r>
      <w:r w:rsidR="00797FF9">
        <w:rPr>
          <w:rFonts w:eastAsiaTheme="minorHAnsi"/>
        </w:rPr>
        <w:t xml:space="preserve">for </w:t>
      </w:r>
      <w:r w:rsidR="00541E5D">
        <w:rPr>
          <w:rFonts w:eastAsiaTheme="minorHAnsi"/>
        </w:rPr>
        <w:t xml:space="preserve">board operators, through dedicated user interfaces, to </w:t>
      </w:r>
      <w:r w:rsidR="00B21D98" w:rsidRPr="00B21D98">
        <w:rPr>
          <w:rFonts w:eastAsiaTheme="minorHAnsi"/>
        </w:rPr>
        <w:t xml:space="preserve">enhance </w:t>
      </w:r>
      <w:r w:rsidR="004F3F40">
        <w:rPr>
          <w:rFonts w:eastAsiaTheme="minorHAnsi"/>
        </w:rPr>
        <w:t xml:space="preserve">the </w:t>
      </w:r>
      <w:r w:rsidR="00B21D98" w:rsidRPr="00B21D98">
        <w:rPr>
          <w:rFonts w:eastAsiaTheme="minorHAnsi"/>
        </w:rPr>
        <w:t>plan</w:t>
      </w:r>
      <w:r w:rsidR="00B21D98" w:rsidRPr="00B578C5">
        <w:rPr>
          <w:rFonts w:eastAsiaTheme="minorHAnsi"/>
        </w:rPr>
        <w:t xml:space="preserve">t's performance. </w:t>
      </w:r>
    </w:p>
    <w:p w14:paraId="5EA61481" w14:textId="07729F37" w:rsidR="000C42BF" w:rsidRDefault="000B37EA" w:rsidP="00B21D98">
      <w:pPr>
        <w:pStyle w:val="CETBodytext"/>
        <w:rPr>
          <w:rFonts w:eastAsiaTheme="minorHAnsi"/>
        </w:rPr>
      </w:pPr>
      <w:r w:rsidRPr="00B578C5">
        <w:rPr>
          <w:rFonts w:eastAsiaTheme="minorHAnsi"/>
        </w:rPr>
        <w:t>I</w:t>
      </w:r>
      <w:r w:rsidR="00B21D98" w:rsidRPr="00B578C5">
        <w:rPr>
          <w:rFonts w:eastAsiaTheme="minorHAnsi"/>
        </w:rPr>
        <w:t xml:space="preserve">t will then </w:t>
      </w:r>
      <w:r w:rsidR="000A0DA0" w:rsidRPr="00B578C5">
        <w:rPr>
          <w:rFonts w:eastAsiaTheme="minorHAnsi"/>
        </w:rPr>
        <w:t xml:space="preserve">remain </w:t>
      </w:r>
      <w:r w:rsidR="0078340A">
        <w:rPr>
          <w:rFonts w:eastAsiaTheme="minorHAnsi"/>
        </w:rPr>
        <w:t xml:space="preserve">the </w:t>
      </w:r>
      <w:r w:rsidR="008858A1">
        <w:rPr>
          <w:rFonts w:eastAsiaTheme="minorHAnsi"/>
        </w:rPr>
        <w:t xml:space="preserve">board </w:t>
      </w:r>
      <w:r w:rsidR="00B21D98" w:rsidRPr="00B578C5">
        <w:rPr>
          <w:rFonts w:eastAsiaTheme="minorHAnsi"/>
        </w:rPr>
        <w:t>operat</w:t>
      </w:r>
      <w:r w:rsidR="00C86617" w:rsidRPr="00B578C5">
        <w:rPr>
          <w:rFonts w:eastAsiaTheme="minorHAnsi"/>
        </w:rPr>
        <w:t>ions</w:t>
      </w:r>
      <w:r w:rsidR="00B21D98" w:rsidRPr="00B578C5">
        <w:rPr>
          <w:rFonts w:eastAsiaTheme="minorHAnsi"/>
        </w:rPr>
        <w:t xml:space="preserve">' duty to implement the recommendations </w:t>
      </w:r>
      <w:r w:rsidR="00415102">
        <w:rPr>
          <w:rFonts w:eastAsiaTheme="minorHAnsi"/>
        </w:rPr>
        <w:t>provided by</w:t>
      </w:r>
      <w:r w:rsidR="0078340A">
        <w:rPr>
          <w:rFonts w:eastAsiaTheme="minorHAnsi"/>
        </w:rPr>
        <w:t xml:space="preserve"> the</w:t>
      </w:r>
      <w:r w:rsidR="00415102">
        <w:rPr>
          <w:rFonts w:eastAsiaTheme="minorHAnsi"/>
        </w:rPr>
        <w:t xml:space="preserve"> DPM </w:t>
      </w:r>
      <w:r w:rsidR="0078340A">
        <w:rPr>
          <w:rFonts w:eastAsiaTheme="minorHAnsi"/>
        </w:rPr>
        <w:t xml:space="preserve">by </w:t>
      </w:r>
      <w:r w:rsidR="00B21D98" w:rsidRPr="00B578C5">
        <w:rPr>
          <w:rFonts w:eastAsiaTheme="minorHAnsi"/>
        </w:rPr>
        <w:t>modifying process variables</w:t>
      </w:r>
      <w:r w:rsidR="002F4F83">
        <w:rPr>
          <w:rFonts w:eastAsiaTheme="minorHAnsi"/>
        </w:rPr>
        <w:t xml:space="preserve"> </w:t>
      </w:r>
      <w:r w:rsidR="000D7706">
        <w:rPr>
          <w:rFonts w:eastAsiaTheme="minorHAnsi"/>
        </w:rPr>
        <w:t>through</w:t>
      </w:r>
      <w:r w:rsidR="00B21D98" w:rsidRPr="00B578C5">
        <w:rPr>
          <w:rFonts w:eastAsiaTheme="minorHAnsi"/>
        </w:rPr>
        <w:t xml:space="preserve"> </w:t>
      </w:r>
      <w:r w:rsidR="0078340A">
        <w:rPr>
          <w:rFonts w:eastAsiaTheme="minorHAnsi"/>
        </w:rPr>
        <w:t xml:space="preserve">the </w:t>
      </w:r>
      <w:r w:rsidR="00D42209">
        <w:rPr>
          <w:rFonts w:eastAsiaTheme="minorHAnsi"/>
        </w:rPr>
        <w:t>DCS</w:t>
      </w:r>
      <w:r w:rsidR="00B21D98" w:rsidRPr="00B578C5">
        <w:rPr>
          <w:rFonts w:eastAsiaTheme="minorHAnsi"/>
        </w:rPr>
        <w:t xml:space="preserve"> </w:t>
      </w:r>
      <w:r w:rsidR="00C9472B" w:rsidRPr="00B578C5">
        <w:rPr>
          <w:rFonts w:eastAsiaTheme="minorHAnsi"/>
        </w:rPr>
        <w:t xml:space="preserve">so </w:t>
      </w:r>
      <w:r w:rsidR="0078340A">
        <w:rPr>
          <w:rFonts w:eastAsiaTheme="minorHAnsi"/>
        </w:rPr>
        <w:t xml:space="preserve">as </w:t>
      </w:r>
      <w:r w:rsidR="00C9472B" w:rsidRPr="00B578C5">
        <w:rPr>
          <w:rFonts w:eastAsiaTheme="minorHAnsi"/>
        </w:rPr>
        <w:t xml:space="preserve">to </w:t>
      </w:r>
      <w:r w:rsidR="00EA6721" w:rsidRPr="00B578C5">
        <w:rPr>
          <w:rFonts w:eastAsiaTheme="minorHAnsi"/>
        </w:rPr>
        <w:t>effectively enhance</w:t>
      </w:r>
      <w:r w:rsidR="004112C6">
        <w:rPr>
          <w:rFonts w:eastAsiaTheme="minorHAnsi"/>
        </w:rPr>
        <w:t xml:space="preserve"> </w:t>
      </w:r>
      <w:r w:rsidR="00B578C5" w:rsidRPr="00B578C5">
        <w:rPr>
          <w:rFonts w:eastAsiaTheme="minorHAnsi"/>
        </w:rPr>
        <w:t>performance improvements.</w:t>
      </w:r>
    </w:p>
    <w:p w14:paraId="46B951F2" w14:textId="6D107EE1" w:rsidR="00BD034A" w:rsidRDefault="00784366" w:rsidP="00986B2C">
      <w:pPr>
        <w:pStyle w:val="CETheadingx"/>
        <w:rPr>
          <w:rFonts w:eastAsiaTheme="minorHAnsi"/>
        </w:rPr>
      </w:pPr>
      <w:r>
        <w:rPr>
          <w:rFonts w:eastAsiaTheme="minorHAnsi"/>
        </w:rPr>
        <w:t>DPM Data Flow</w:t>
      </w:r>
    </w:p>
    <w:p w14:paraId="46467441" w14:textId="63CAA08E" w:rsidR="00143171" w:rsidRDefault="00143171" w:rsidP="00143171">
      <w:pPr>
        <w:pStyle w:val="CETBodytext"/>
      </w:pPr>
      <w:r w:rsidRPr="007F0A57">
        <w:t>Input data</w:t>
      </w:r>
      <w:r>
        <w:t xml:space="preserve"> (</w:t>
      </w:r>
      <w:r w:rsidR="007D792B">
        <w:t xml:space="preserve">online data from </w:t>
      </w:r>
      <w:r w:rsidR="0078340A">
        <w:t xml:space="preserve">the </w:t>
      </w:r>
      <w:r w:rsidR="007D792B">
        <w:t>plant</w:t>
      </w:r>
      <w:r w:rsidR="0078340A">
        <w:t>’s</w:t>
      </w:r>
      <w:r w:rsidR="007D792B">
        <w:t xml:space="preserve"> </w:t>
      </w:r>
      <w:r>
        <w:t xml:space="preserve">DCS </w:t>
      </w:r>
      <w:r w:rsidR="00EA116B">
        <w:t>and offline</w:t>
      </w:r>
      <w:r w:rsidR="004F48C1">
        <w:t xml:space="preserve"> data derived by measurement campaigns</w:t>
      </w:r>
      <w:r>
        <w:t>) are acquired by</w:t>
      </w:r>
      <w:r w:rsidRPr="007F0A57">
        <w:t xml:space="preserve"> </w:t>
      </w:r>
      <w:r w:rsidR="0078340A">
        <w:t xml:space="preserve">the </w:t>
      </w:r>
      <w:r w:rsidR="00F54A60">
        <w:t xml:space="preserve">DPM. A </w:t>
      </w:r>
      <w:r w:rsidR="00DE21B3">
        <w:t>d</w:t>
      </w:r>
      <w:r>
        <w:t xml:space="preserve">ata validation </w:t>
      </w:r>
      <w:r w:rsidR="00DE21B3">
        <w:t>algorithm</w:t>
      </w:r>
      <w:r w:rsidR="00F54A60">
        <w:t xml:space="preserve"> </w:t>
      </w:r>
      <w:r>
        <w:t xml:space="preserve">allows </w:t>
      </w:r>
      <w:r w:rsidR="0078340A">
        <w:t xml:space="preserve">plant operators </w:t>
      </w:r>
      <w:r>
        <w:t>to verify</w:t>
      </w:r>
      <w:r w:rsidR="00DE21B3">
        <w:t xml:space="preserve"> the quality</w:t>
      </w:r>
      <w:r>
        <w:t xml:space="preserve"> </w:t>
      </w:r>
      <w:r w:rsidR="00DE21B3">
        <w:t xml:space="preserve">of </w:t>
      </w:r>
      <w:r w:rsidR="001B2E54">
        <w:t xml:space="preserve">raw </w:t>
      </w:r>
      <w:r>
        <w:t>input data</w:t>
      </w:r>
      <w:r w:rsidR="003C08B4">
        <w:t xml:space="preserve">, so </w:t>
      </w:r>
      <w:r w:rsidR="0078340A">
        <w:t xml:space="preserve">as </w:t>
      </w:r>
      <w:r w:rsidR="003C08B4">
        <w:t xml:space="preserve">to exclude unreliable </w:t>
      </w:r>
      <w:r w:rsidR="001B2E54">
        <w:t>ones</w:t>
      </w:r>
      <w:r w:rsidR="003C08B4">
        <w:t xml:space="preserve">. </w:t>
      </w:r>
      <w:r>
        <w:t>Validated data</w:t>
      </w:r>
      <w:r w:rsidR="0078340A">
        <w:t xml:space="preserve"> then</w:t>
      </w:r>
      <w:r>
        <w:t xml:space="preserve"> feed the </w:t>
      </w:r>
      <w:r w:rsidR="001B2E54">
        <w:t>p</w:t>
      </w:r>
      <w:r>
        <w:t xml:space="preserve">rocess </w:t>
      </w:r>
      <w:r w:rsidR="001B2E54">
        <w:t>m</w:t>
      </w:r>
      <w:r>
        <w:t xml:space="preserve">odel </w:t>
      </w:r>
      <w:r w:rsidR="001B2E54">
        <w:t xml:space="preserve">by </w:t>
      </w:r>
      <w:r>
        <w:t>generating simulated data and soft sensors</w:t>
      </w:r>
      <w:r w:rsidR="003C08B4">
        <w:t xml:space="preserve">, which </w:t>
      </w:r>
      <w:r w:rsidR="0035739F">
        <w:t xml:space="preserve">consist </w:t>
      </w:r>
      <w:r w:rsidR="00EB0F7C">
        <w:t>in new process variables calculated starting from the DCS dat</w:t>
      </w:r>
      <w:r w:rsidR="0081530F">
        <w:t>a properly manipulated.</w:t>
      </w:r>
    </w:p>
    <w:p w14:paraId="445DA549" w14:textId="5DF3727A" w:rsidR="00621965" w:rsidRDefault="00E14C95" w:rsidP="00EC10A1">
      <w:pPr>
        <w:pStyle w:val="CETBodytext"/>
      </w:pPr>
      <w:r>
        <w:t xml:space="preserve">As </w:t>
      </w:r>
      <w:r w:rsidR="00621965">
        <w:t>t</w:t>
      </w:r>
      <w:r w:rsidR="00621965" w:rsidRPr="00644760">
        <w:t>he quality of online measured operational data is usually not satisfactory for the performance evaluation of plants, because they are never error free</w:t>
      </w:r>
      <w:r w:rsidR="00621965">
        <w:t xml:space="preserve">, a data reconciliation </w:t>
      </w:r>
      <w:r w:rsidR="00210A8D">
        <w:t>algorithm</w:t>
      </w:r>
      <w:r w:rsidR="00621965">
        <w:t xml:space="preserve"> has been implemented</w:t>
      </w:r>
      <w:r w:rsidR="00C02641">
        <w:t xml:space="preserve"> </w:t>
      </w:r>
      <w:r w:rsidR="00621965" w:rsidRPr="00644760">
        <w:t xml:space="preserve">to improve measurement accuracy and </w:t>
      </w:r>
      <w:r w:rsidR="00EA116B">
        <w:t xml:space="preserve">achieve </w:t>
      </w:r>
      <w:r w:rsidR="00EA116B" w:rsidRPr="00644760">
        <w:t>reliable</w:t>
      </w:r>
      <w:r w:rsidR="00621965" w:rsidRPr="00644760">
        <w:t xml:space="preserve"> operation</w:t>
      </w:r>
      <w:r w:rsidR="0078340A">
        <w:t>s</w:t>
      </w:r>
      <w:r w:rsidR="00621965" w:rsidRPr="00644760">
        <w:t xml:space="preserve">. </w:t>
      </w:r>
    </w:p>
    <w:p w14:paraId="2E0A8B6F" w14:textId="2FDA6188" w:rsidR="00566541" w:rsidRPr="00973B4D" w:rsidRDefault="00791781" w:rsidP="00627E13">
      <w:pPr>
        <w:pStyle w:val="CETBodytext"/>
      </w:pPr>
      <w:r>
        <w:t xml:space="preserve">Following </w:t>
      </w:r>
      <w:r w:rsidR="00C357B4">
        <w:t>r</w:t>
      </w:r>
      <w:r>
        <w:t xml:space="preserve">econciliation, </w:t>
      </w:r>
      <w:r w:rsidR="00FC4339">
        <w:t xml:space="preserve">data analysis takes place by </w:t>
      </w:r>
      <w:r w:rsidR="00BF24AB">
        <w:t xml:space="preserve">leveraging on the comparison between </w:t>
      </w:r>
      <w:r w:rsidR="00FD4345">
        <w:t xml:space="preserve">process validated data derived from </w:t>
      </w:r>
      <w:r w:rsidR="0078340A">
        <w:t xml:space="preserve">the </w:t>
      </w:r>
      <w:r w:rsidR="00FD4345">
        <w:t xml:space="preserve">DCS and reconciled </w:t>
      </w:r>
      <w:r w:rsidR="00117130">
        <w:t xml:space="preserve">process </w:t>
      </w:r>
      <w:r w:rsidR="00FD4345">
        <w:t xml:space="preserve">data </w:t>
      </w:r>
      <w:r w:rsidR="00117130">
        <w:t xml:space="preserve">calculated by the process model </w:t>
      </w:r>
      <w:r w:rsidR="00EA116B">
        <w:t>itself; the</w:t>
      </w:r>
      <w:r w:rsidR="00143171">
        <w:t xml:space="preserve"> tool</w:t>
      </w:r>
      <w:r w:rsidR="0078340A">
        <w:t>,</w:t>
      </w:r>
      <w:r w:rsidR="00143171">
        <w:t xml:space="preserve"> </w:t>
      </w:r>
      <w:r w:rsidR="00D55266">
        <w:t>with the support of KT specialists</w:t>
      </w:r>
      <w:r w:rsidR="0078340A">
        <w:t xml:space="preserve">, is capable </w:t>
      </w:r>
      <w:r w:rsidR="00EA116B">
        <w:t>of generating</w:t>
      </w:r>
      <w:r w:rsidR="0078340A">
        <w:t xml:space="preserve"> </w:t>
      </w:r>
      <w:r w:rsidR="00143171">
        <w:t xml:space="preserve">advice to correctly operate the plant </w:t>
      </w:r>
      <w:r w:rsidR="00DE23A2">
        <w:t>as near</w:t>
      </w:r>
      <w:r w:rsidR="00EA116B">
        <w:t xml:space="preserve"> </w:t>
      </w:r>
      <w:r w:rsidR="00DE23A2">
        <w:t>as possible t</w:t>
      </w:r>
      <w:r w:rsidR="004F1CEB">
        <w:t>o the optimum design conditions</w:t>
      </w:r>
      <w:r w:rsidR="00646772">
        <w:t>. Th</w:t>
      </w:r>
      <w:r w:rsidR="0078340A">
        <w:t xml:space="preserve">is advice </w:t>
      </w:r>
      <w:r w:rsidR="00EA116B">
        <w:t>is summarized</w:t>
      </w:r>
      <w:r w:rsidR="00646772">
        <w:t xml:space="preserve"> </w:t>
      </w:r>
      <w:r w:rsidR="0078340A">
        <w:t xml:space="preserve">on </w:t>
      </w:r>
      <w:r w:rsidR="00646772">
        <w:t>dashboard</w:t>
      </w:r>
      <w:r w:rsidR="006F533A">
        <w:t>s</w:t>
      </w:r>
      <w:r w:rsidR="00646772">
        <w:t xml:space="preserve"> which</w:t>
      </w:r>
      <w:r w:rsidR="0078340A">
        <w:t xml:space="preserve"> are the </w:t>
      </w:r>
      <w:r w:rsidR="00566541" w:rsidRPr="006F533A">
        <w:t>main interface with plant operators.</w:t>
      </w:r>
      <w:r w:rsidR="000822AE">
        <w:t xml:space="preserve"> </w:t>
      </w:r>
      <w:r w:rsidR="00566541" w:rsidRPr="000822AE">
        <w:t>It consists of a graphic</w:t>
      </w:r>
      <w:r w:rsidR="00EA116B">
        <w:t xml:space="preserve"> </w:t>
      </w:r>
      <w:r w:rsidR="00566541" w:rsidRPr="000822AE">
        <w:t xml:space="preserve">representation of pre-defined KPI values and trends, </w:t>
      </w:r>
      <w:r w:rsidR="0078340A">
        <w:t xml:space="preserve">the </w:t>
      </w:r>
      <w:r w:rsidR="00566541" w:rsidRPr="000822AE">
        <w:t>most critical plant parameters</w:t>
      </w:r>
      <w:r w:rsidR="0078340A">
        <w:t>,</w:t>
      </w:r>
      <w:r w:rsidR="00566541" w:rsidRPr="000822AE">
        <w:t xml:space="preserve"> and process variables </w:t>
      </w:r>
      <w:r w:rsidR="005F2195">
        <w:t xml:space="preserve">affecting drastically the plant </w:t>
      </w:r>
      <w:r w:rsidR="00627E13">
        <w:t>operation</w:t>
      </w:r>
      <w:r w:rsidR="00566541" w:rsidRPr="000822AE">
        <w:t>.</w:t>
      </w:r>
    </w:p>
    <w:p w14:paraId="7CDE1A85" w14:textId="546584B5" w:rsidR="00BD034A" w:rsidRDefault="00CD48B3" w:rsidP="00986B2C">
      <w:pPr>
        <w:pStyle w:val="CETheadingx"/>
        <w:rPr>
          <w:rFonts w:eastAsiaTheme="minorHAnsi"/>
        </w:rPr>
      </w:pPr>
      <w:r>
        <w:rPr>
          <w:rFonts w:eastAsiaTheme="minorHAnsi"/>
        </w:rPr>
        <w:t xml:space="preserve">DPM </w:t>
      </w:r>
      <w:r w:rsidR="002C3A47">
        <w:rPr>
          <w:rFonts w:eastAsiaTheme="minorHAnsi"/>
        </w:rPr>
        <w:t>Dashboard</w:t>
      </w:r>
    </w:p>
    <w:p w14:paraId="34BE8920" w14:textId="57A53A66" w:rsidR="00D01C30" w:rsidRDefault="002414A4" w:rsidP="00B21D98">
      <w:pPr>
        <w:pStyle w:val="CETBodytext"/>
        <w:rPr>
          <w:rFonts w:eastAsiaTheme="minorHAnsi"/>
        </w:rPr>
      </w:pPr>
      <w:r w:rsidRPr="002414A4">
        <w:rPr>
          <w:rFonts w:eastAsiaTheme="minorHAnsi"/>
        </w:rPr>
        <w:t xml:space="preserve">The DPM dashboards are the main interface for </w:t>
      </w:r>
      <w:r w:rsidR="00EA116B" w:rsidRPr="002414A4">
        <w:rPr>
          <w:rFonts w:eastAsiaTheme="minorHAnsi"/>
        </w:rPr>
        <w:t>users</w:t>
      </w:r>
      <w:r w:rsidR="00EA116B">
        <w:rPr>
          <w:rFonts w:eastAsiaTheme="minorHAnsi"/>
        </w:rPr>
        <w:t xml:space="preserve"> and</w:t>
      </w:r>
      <w:r w:rsidRPr="002414A4">
        <w:rPr>
          <w:rFonts w:eastAsiaTheme="minorHAnsi"/>
        </w:rPr>
        <w:t xml:space="preserve"> were designed by KT to provide operators with a quick and comprehensive overview of plant behavior</w:t>
      </w:r>
      <w:r w:rsidR="00BD2B09">
        <w:rPr>
          <w:rFonts w:eastAsiaTheme="minorHAnsi"/>
        </w:rPr>
        <w:t>.</w:t>
      </w:r>
      <w:r w:rsidR="0032469F">
        <w:rPr>
          <w:rFonts w:eastAsiaTheme="minorHAnsi"/>
        </w:rPr>
        <w:t xml:space="preserve"> </w:t>
      </w:r>
      <w:r w:rsidR="00BD2B09">
        <w:rPr>
          <w:rFonts w:eastAsiaTheme="minorHAnsi"/>
        </w:rPr>
        <w:t xml:space="preserve">Literally, </w:t>
      </w:r>
      <w:r w:rsidR="000461CF">
        <w:rPr>
          <w:rFonts w:eastAsiaTheme="minorHAnsi"/>
        </w:rPr>
        <w:t xml:space="preserve">DPM </w:t>
      </w:r>
      <w:r w:rsidR="00BD2B09">
        <w:rPr>
          <w:rFonts w:eastAsiaTheme="minorHAnsi"/>
        </w:rPr>
        <w:t xml:space="preserve">dashboards </w:t>
      </w:r>
      <w:r w:rsidR="00EA116B">
        <w:rPr>
          <w:rFonts w:eastAsiaTheme="minorHAnsi"/>
        </w:rPr>
        <w:t>let plant</w:t>
      </w:r>
      <w:r w:rsidR="000461CF">
        <w:rPr>
          <w:rFonts w:eastAsiaTheme="minorHAnsi"/>
        </w:rPr>
        <w:t xml:space="preserve"> owner</w:t>
      </w:r>
      <w:r w:rsidR="00117DED">
        <w:rPr>
          <w:rFonts w:eastAsiaTheme="minorHAnsi"/>
        </w:rPr>
        <w:t xml:space="preserve">s always have an </w:t>
      </w:r>
      <w:r w:rsidR="00E97A12">
        <w:rPr>
          <w:rFonts w:eastAsiaTheme="minorHAnsi"/>
        </w:rPr>
        <w:t xml:space="preserve">overview of </w:t>
      </w:r>
      <w:r w:rsidR="005934CB">
        <w:rPr>
          <w:rFonts w:eastAsiaTheme="minorHAnsi"/>
        </w:rPr>
        <w:t xml:space="preserve">plant operation </w:t>
      </w:r>
      <w:r w:rsidR="00117DED">
        <w:rPr>
          <w:rFonts w:eastAsiaTheme="minorHAnsi"/>
        </w:rPr>
        <w:t xml:space="preserve">handy </w:t>
      </w:r>
      <w:r w:rsidR="0045356F">
        <w:rPr>
          <w:rFonts w:eastAsiaTheme="minorHAnsi"/>
        </w:rPr>
        <w:t xml:space="preserve">in </w:t>
      </w:r>
      <w:r w:rsidR="00117DED">
        <w:rPr>
          <w:rFonts w:eastAsiaTheme="minorHAnsi"/>
        </w:rPr>
        <w:t xml:space="preserve">their pocket: </w:t>
      </w:r>
      <w:r w:rsidR="00DB444F">
        <w:rPr>
          <w:rFonts w:eastAsiaTheme="minorHAnsi"/>
        </w:rPr>
        <w:t>dashboards</w:t>
      </w:r>
      <w:r w:rsidR="005D0379">
        <w:rPr>
          <w:rFonts w:eastAsiaTheme="minorHAnsi"/>
        </w:rPr>
        <w:t xml:space="preserve"> </w:t>
      </w:r>
      <w:r w:rsidR="0024199A">
        <w:rPr>
          <w:rFonts w:eastAsiaTheme="minorHAnsi"/>
        </w:rPr>
        <w:t>were</w:t>
      </w:r>
      <w:r w:rsidR="007837AD">
        <w:rPr>
          <w:rFonts w:eastAsiaTheme="minorHAnsi"/>
        </w:rPr>
        <w:t xml:space="preserve"> </w:t>
      </w:r>
      <w:r w:rsidR="004F55EF">
        <w:rPr>
          <w:rFonts w:eastAsiaTheme="minorHAnsi"/>
        </w:rPr>
        <w:t>designe</w:t>
      </w:r>
      <w:r w:rsidR="007837AD">
        <w:rPr>
          <w:rFonts w:eastAsiaTheme="minorHAnsi"/>
        </w:rPr>
        <w:t>d</w:t>
      </w:r>
      <w:r w:rsidR="005D0379">
        <w:rPr>
          <w:rFonts w:eastAsiaTheme="minorHAnsi"/>
        </w:rPr>
        <w:t xml:space="preserve"> to</w:t>
      </w:r>
      <w:r w:rsidR="0047054C">
        <w:rPr>
          <w:rFonts w:eastAsiaTheme="minorHAnsi"/>
        </w:rPr>
        <w:t xml:space="preserve"> be visible on multiple devices such as laptops</w:t>
      </w:r>
      <w:r w:rsidR="0024199A">
        <w:rPr>
          <w:rFonts w:eastAsiaTheme="minorHAnsi"/>
        </w:rPr>
        <w:t>,</w:t>
      </w:r>
      <w:r w:rsidR="0047054C">
        <w:rPr>
          <w:rFonts w:eastAsiaTheme="minorHAnsi"/>
        </w:rPr>
        <w:t xml:space="preserve"> tablets or smartphone</w:t>
      </w:r>
      <w:r w:rsidR="00117DED">
        <w:rPr>
          <w:rFonts w:eastAsiaTheme="minorHAnsi"/>
        </w:rPr>
        <w:t>s</w:t>
      </w:r>
      <w:r w:rsidR="0047054C">
        <w:rPr>
          <w:rFonts w:eastAsiaTheme="minorHAnsi"/>
        </w:rPr>
        <w:t xml:space="preserve">. </w:t>
      </w:r>
      <w:r w:rsidR="00C3469F">
        <w:rPr>
          <w:rFonts w:eastAsiaTheme="minorHAnsi"/>
        </w:rPr>
        <w:t xml:space="preserve">Data reported on </w:t>
      </w:r>
      <w:r w:rsidR="0048582D">
        <w:rPr>
          <w:rFonts w:eastAsiaTheme="minorHAnsi"/>
        </w:rPr>
        <w:t>dash</w:t>
      </w:r>
      <w:r w:rsidR="00C3469F">
        <w:rPr>
          <w:rFonts w:eastAsiaTheme="minorHAnsi"/>
        </w:rPr>
        <w:t>boards are not only DCS</w:t>
      </w:r>
      <w:r w:rsidR="00FE01AA">
        <w:rPr>
          <w:rFonts w:eastAsiaTheme="minorHAnsi"/>
        </w:rPr>
        <w:t xml:space="preserve"> data</w:t>
      </w:r>
      <w:r w:rsidR="00C3469F">
        <w:rPr>
          <w:rFonts w:eastAsiaTheme="minorHAnsi"/>
        </w:rPr>
        <w:t xml:space="preserve">, but also </w:t>
      </w:r>
      <w:r w:rsidR="00C362A8">
        <w:rPr>
          <w:rFonts w:eastAsiaTheme="minorHAnsi"/>
        </w:rPr>
        <w:t>helpful</w:t>
      </w:r>
      <w:r w:rsidR="00FE1107">
        <w:rPr>
          <w:rFonts w:eastAsiaTheme="minorHAnsi"/>
        </w:rPr>
        <w:t xml:space="preserve"> operating </w:t>
      </w:r>
      <w:r w:rsidR="00C3469F">
        <w:rPr>
          <w:rFonts w:eastAsiaTheme="minorHAnsi"/>
        </w:rPr>
        <w:t xml:space="preserve">parameters </w:t>
      </w:r>
      <w:r w:rsidR="0048582D">
        <w:rPr>
          <w:rFonts w:eastAsiaTheme="minorHAnsi"/>
        </w:rPr>
        <w:t xml:space="preserve">(soft sensors) </w:t>
      </w:r>
      <w:r w:rsidR="00EE6050">
        <w:rPr>
          <w:rFonts w:eastAsiaTheme="minorHAnsi"/>
        </w:rPr>
        <w:t xml:space="preserve">that cannot be </w:t>
      </w:r>
      <w:r w:rsidR="00F77A4C">
        <w:rPr>
          <w:rFonts w:eastAsiaTheme="minorHAnsi"/>
        </w:rPr>
        <w:t>de</w:t>
      </w:r>
      <w:r w:rsidR="006F163D">
        <w:rPr>
          <w:rFonts w:eastAsiaTheme="minorHAnsi"/>
        </w:rPr>
        <w:t>rived directly from</w:t>
      </w:r>
      <w:r w:rsidR="00EE6050">
        <w:rPr>
          <w:rFonts w:eastAsiaTheme="minorHAnsi"/>
        </w:rPr>
        <w:t xml:space="preserve"> </w:t>
      </w:r>
      <w:r w:rsidR="00117DED">
        <w:rPr>
          <w:rFonts w:eastAsiaTheme="minorHAnsi"/>
        </w:rPr>
        <w:t xml:space="preserve">the </w:t>
      </w:r>
      <w:r w:rsidR="00EE6050">
        <w:rPr>
          <w:rFonts w:eastAsiaTheme="minorHAnsi"/>
        </w:rPr>
        <w:t xml:space="preserve">DCS but are </w:t>
      </w:r>
      <w:r w:rsidR="00C3469F">
        <w:rPr>
          <w:rFonts w:eastAsiaTheme="minorHAnsi"/>
        </w:rPr>
        <w:t xml:space="preserve">continuously calculated by </w:t>
      </w:r>
      <w:r w:rsidR="00117DED">
        <w:rPr>
          <w:rFonts w:eastAsiaTheme="minorHAnsi"/>
        </w:rPr>
        <w:t xml:space="preserve">the </w:t>
      </w:r>
      <w:r w:rsidR="00C3469F">
        <w:rPr>
          <w:rFonts w:eastAsiaTheme="minorHAnsi"/>
        </w:rPr>
        <w:t>DPM model</w:t>
      </w:r>
      <w:r w:rsidR="00DC1FBC">
        <w:rPr>
          <w:rFonts w:eastAsiaTheme="minorHAnsi"/>
        </w:rPr>
        <w:t xml:space="preserve">. </w:t>
      </w:r>
      <w:r w:rsidR="00572559">
        <w:rPr>
          <w:rFonts w:eastAsiaTheme="minorHAnsi"/>
        </w:rPr>
        <w:t>Traditionally, t</w:t>
      </w:r>
      <w:r w:rsidR="00DC1FBC">
        <w:rPr>
          <w:rFonts w:eastAsiaTheme="minorHAnsi"/>
        </w:rPr>
        <w:t xml:space="preserve">hese key parameters </w:t>
      </w:r>
      <w:r w:rsidR="00117DED">
        <w:rPr>
          <w:rFonts w:eastAsiaTheme="minorHAnsi"/>
        </w:rPr>
        <w:t>have not been</w:t>
      </w:r>
      <w:r w:rsidR="00DC1FBC">
        <w:rPr>
          <w:rFonts w:eastAsiaTheme="minorHAnsi"/>
        </w:rPr>
        <w:t xml:space="preserve"> available</w:t>
      </w:r>
      <w:r w:rsidR="00117DED">
        <w:rPr>
          <w:rFonts w:eastAsiaTheme="minorHAnsi"/>
        </w:rPr>
        <w:t xml:space="preserve"> to operators for</w:t>
      </w:r>
      <w:r w:rsidR="00EA116B">
        <w:rPr>
          <w:rFonts w:eastAsiaTheme="minorHAnsi"/>
        </w:rPr>
        <w:t xml:space="preserve"> </w:t>
      </w:r>
      <w:r w:rsidR="00117DED">
        <w:rPr>
          <w:rFonts w:eastAsiaTheme="minorHAnsi"/>
        </w:rPr>
        <w:t xml:space="preserve">their </w:t>
      </w:r>
      <w:r w:rsidR="00BE0444">
        <w:rPr>
          <w:rFonts w:eastAsiaTheme="minorHAnsi"/>
        </w:rPr>
        <w:t>immediate</w:t>
      </w:r>
      <w:r w:rsidR="00353F14">
        <w:rPr>
          <w:rFonts w:eastAsiaTheme="minorHAnsi"/>
        </w:rPr>
        <w:t xml:space="preserve"> </w:t>
      </w:r>
      <w:r w:rsidR="00EA116B">
        <w:rPr>
          <w:rFonts w:eastAsiaTheme="minorHAnsi"/>
        </w:rPr>
        <w:t>use, as</w:t>
      </w:r>
      <w:r w:rsidR="00353F14">
        <w:rPr>
          <w:rFonts w:eastAsiaTheme="minorHAnsi"/>
        </w:rPr>
        <w:t xml:space="preserve"> they </w:t>
      </w:r>
      <w:r w:rsidR="00BE0444">
        <w:rPr>
          <w:rFonts w:eastAsiaTheme="minorHAnsi"/>
        </w:rPr>
        <w:t xml:space="preserve">derive from </w:t>
      </w:r>
      <w:r w:rsidR="007534B4">
        <w:rPr>
          <w:rFonts w:eastAsiaTheme="minorHAnsi"/>
        </w:rPr>
        <w:t xml:space="preserve">an </w:t>
      </w:r>
      <w:r w:rsidR="00BE0444">
        <w:rPr>
          <w:rFonts w:eastAsiaTheme="minorHAnsi"/>
        </w:rPr>
        <w:t>analysis of DCS data</w:t>
      </w:r>
      <w:r w:rsidR="009367CE">
        <w:rPr>
          <w:rFonts w:eastAsiaTheme="minorHAnsi"/>
        </w:rPr>
        <w:t xml:space="preserve"> which can take </w:t>
      </w:r>
      <w:r w:rsidR="000A2834">
        <w:rPr>
          <w:rFonts w:eastAsiaTheme="minorHAnsi"/>
        </w:rPr>
        <w:t xml:space="preserve">hours to days, </w:t>
      </w:r>
      <w:r w:rsidR="00117DED">
        <w:rPr>
          <w:rFonts w:eastAsiaTheme="minorHAnsi"/>
        </w:rPr>
        <w:t xml:space="preserve">delaying any necessary remedial action. The </w:t>
      </w:r>
      <w:r w:rsidR="00850F80">
        <w:rPr>
          <w:rFonts w:eastAsiaTheme="minorHAnsi"/>
        </w:rPr>
        <w:t>DPM</w:t>
      </w:r>
      <w:r w:rsidR="00117DED">
        <w:rPr>
          <w:rFonts w:eastAsiaTheme="minorHAnsi"/>
        </w:rPr>
        <w:t>’s</w:t>
      </w:r>
      <w:r w:rsidR="00850F80">
        <w:rPr>
          <w:rFonts w:eastAsiaTheme="minorHAnsi"/>
        </w:rPr>
        <w:t xml:space="preserve"> goal is to automatize this </w:t>
      </w:r>
      <w:r w:rsidR="007534B4">
        <w:rPr>
          <w:rFonts w:eastAsiaTheme="minorHAnsi"/>
        </w:rPr>
        <w:t>process</w:t>
      </w:r>
      <w:r w:rsidR="007724E2">
        <w:rPr>
          <w:rFonts w:eastAsiaTheme="minorHAnsi"/>
        </w:rPr>
        <w:t xml:space="preserve">, </w:t>
      </w:r>
      <w:r w:rsidR="00BB7D81">
        <w:rPr>
          <w:rFonts w:eastAsiaTheme="minorHAnsi"/>
        </w:rPr>
        <w:t xml:space="preserve">creating </w:t>
      </w:r>
      <w:r w:rsidR="007724E2">
        <w:rPr>
          <w:rFonts w:eastAsiaTheme="minorHAnsi"/>
        </w:rPr>
        <w:t xml:space="preserve">a live </w:t>
      </w:r>
      <w:r w:rsidR="006534FF">
        <w:rPr>
          <w:rFonts w:eastAsiaTheme="minorHAnsi"/>
        </w:rPr>
        <w:t xml:space="preserve">report </w:t>
      </w:r>
      <w:r w:rsidR="00BB7D81">
        <w:rPr>
          <w:rFonts w:eastAsiaTheme="minorHAnsi"/>
        </w:rPr>
        <w:t xml:space="preserve">of </w:t>
      </w:r>
      <w:r w:rsidR="00CD6500">
        <w:rPr>
          <w:rFonts w:eastAsiaTheme="minorHAnsi"/>
        </w:rPr>
        <w:t>plant</w:t>
      </w:r>
      <w:r w:rsidR="00C40A10">
        <w:rPr>
          <w:rFonts w:eastAsiaTheme="minorHAnsi"/>
        </w:rPr>
        <w:t xml:space="preserve"> operation, minimizing the time between diagnosis and </w:t>
      </w:r>
      <w:r w:rsidR="00117DED">
        <w:rPr>
          <w:rFonts w:eastAsiaTheme="minorHAnsi"/>
        </w:rPr>
        <w:t xml:space="preserve">remedies in the event of an upset or deviation from </w:t>
      </w:r>
      <w:r w:rsidR="00EA116B">
        <w:rPr>
          <w:rFonts w:eastAsiaTheme="minorHAnsi"/>
        </w:rPr>
        <w:t>optimum</w:t>
      </w:r>
      <w:r w:rsidR="00117DED">
        <w:rPr>
          <w:rFonts w:eastAsiaTheme="minorHAnsi"/>
        </w:rPr>
        <w:t xml:space="preserve"> running conditions.</w:t>
      </w:r>
    </w:p>
    <w:p w14:paraId="4FCBC762" w14:textId="561B8F61" w:rsidR="00E90373" w:rsidRDefault="00720A0F" w:rsidP="00B21D98">
      <w:pPr>
        <w:pStyle w:val="CETBodytext"/>
        <w:rPr>
          <w:rFonts w:eastAsiaTheme="minorHAnsi"/>
        </w:rPr>
      </w:pPr>
      <w:r>
        <w:rPr>
          <w:rFonts w:eastAsiaTheme="minorHAnsi"/>
        </w:rPr>
        <w:t xml:space="preserve">Below are </w:t>
      </w:r>
      <w:r w:rsidR="00806ABF">
        <w:rPr>
          <w:rFonts w:eastAsiaTheme="minorHAnsi"/>
        </w:rPr>
        <w:t>some snapshots</w:t>
      </w:r>
      <w:r w:rsidR="008D1028">
        <w:rPr>
          <w:rFonts w:eastAsiaTheme="minorHAnsi"/>
        </w:rPr>
        <w:t xml:space="preserve"> of</w:t>
      </w:r>
      <w:r w:rsidR="00385785">
        <w:rPr>
          <w:rFonts w:eastAsiaTheme="minorHAnsi"/>
        </w:rPr>
        <w:t xml:space="preserve"> </w:t>
      </w:r>
      <w:r w:rsidR="00806ABF">
        <w:rPr>
          <w:rFonts w:eastAsiaTheme="minorHAnsi"/>
        </w:rPr>
        <w:t>prototype</w:t>
      </w:r>
      <w:r w:rsidR="008D1028">
        <w:rPr>
          <w:rFonts w:eastAsiaTheme="minorHAnsi"/>
        </w:rPr>
        <w:t xml:space="preserve"> dashboard</w:t>
      </w:r>
      <w:r w:rsidR="00385785">
        <w:rPr>
          <w:rFonts w:eastAsiaTheme="minorHAnsi"/>
        </w:rPr>
        <w:t>s</w:t>
      </w:r>
      <w:r w:rsidR="008D1028">
        <w:rPr>
          <w:rFonts w:eastAsiaTheme="minorHAnsi"/>
        </w:rPr>
        <w:t xml:space="preserve"> for </w:t>
      </w:r>
      <w:r w:rsidR="00385785">
        <w:rPr>
          <w:rFonts w:eastAsiaTheme="minorHAnsi"/>
        </w:rPr>
        <w:t xml:space="preserve">HPU and </w:t>
      </w:r>
      <w:r w:rsidR="008D1028">
        <w:rPr>
          <w:rFonts w:eastAsiaTheme="minorHAnsi"/>
        </w:rPr>
        <w:t xml:space="preserve">SRU </w:t>
      </w:r>
      <w:r w:rsidR="00EA116B">
        <w:rPr>
          <w:rFonts w:eastAsiaTheme="minorHAnsi"/>
        </w:rPr>
        <w:t>plants, with</w:t>
      </w:r>
      <w:r w:rsidR="003A4A2A">
        <w:rPr>
          <w:rFonts w:eastAsiaTheme="minorHAnsi"/>
        </w:rPr>
        <w:t xml:space="preserve"> the </w:t>
      </w:r>
      <w:r w:rsidR="00E71BE4">
        <w:rPr>
          <w:rFonts w:eastAsiaTheme="minorHAnsi"/>
        </w:rPr>
        <w:t xml:space="preserve">aim </w:t>
      </w:r>
      <w:r>
        <w:rPr>
          <w:rFonts w:eastAsiaTheme="minorHAnsi"/>
        </w:rPr>
        <w:t>of</w:t>
      </w:r>
      <w:r w:rsidR="008D1028">
        <w:rPr>
          <w:rFonts w:eastAsiaTheme="minorHAnsi"/>
        </w:rPr>
        <w:t xml:space="preserve"> giv</w:t>
      </w:r>
      <w:r>
        <w:rPr>
          <w:rFonts w:eastAsiaTheme="minorHAnsi"/>
        </w:rPr>
        <w:t xml:space="preserve">ing </w:t>
      </w:r>
      <w:r w:rsidR="008D1028">
        <w:rPr>
          <w:rFonts w:eastAsiaTheme="minorHAnsi"/>
        </w:rPr>
        <w:t xml:space="preserve">a comprehensive overview of </w:t>
      </w:r>
      <w:r w:rsidR="00041342">
        <w:rPr>
          <w:rFonts w:eastAsiaTheme="minorHAnsi"/>
        </w:rPr>
        <w:t>DPM dashboard functionalities</w:t>
      </w:r>
      <w:r w:rsidR="00E71BE4">
        <w:rPr>
          <w:rFonts w:eastAsiaTheme="minorHAnsi"/>
        </w:rPr>
        <w:t>, regardless of the plant typology. H</w:t>
      </w:r>
      <w:r w:rsidR="008D1028">
        <w:rPr>
          <w:rFonts w:eastAsiaTheme="minorHAnsi"/>
        </w:rPr>
        <w:t>owever</w:t>
      </w:r>
      <w:r w:rsidR="00326BF1">
        <w:rPr>
          <w:rFonts w:eastAsiaTheme="minorHAnsi"/>
        </w:rPr>
        <w:t xml:space="preserve">, content of dashboards </w:t>
      </w:r>
      <w:r w:rsidR="00D3695C">
        <w:rPr>
          <w:rFonts w:eastAsiaTheme="minorHAnsi"/>
        </w:rPr>
        <w:t>is</w:t>
      </w:r>
      <w:r w:rsidR="00326BF1">
        <w:rPr>
          <w:rFonts w:eastAsiaTheme="minorHAnsi"/>
        </w:rPr>
        <w:t xml:space="preserve"> meant to be customized </w:t>
      </w:r>
      <w:r w:rsidR="00D3695C">
        <w:rPr>
          <w:rFonts w:eastAsiaTheme="minorHAnsi"/>
        </w:rPr>
        <w:t>by KT to fit with specific requirements of p</w:t>
      </w:r>
      <w:r w:rsidR="00E90373">
        <w:rPr>
          <w:rFonts w:eastAsiaTheme="minorHAnsi"/>
        </w:rPr>
        <w:t xml:space="preserve">lant </w:t>
      </w:r>
      <w:r w:rsidR="00D3695C">
        <w:rPr>
          <w:rFonts w:eastAsiaTheme="minorHAnsi"/>
        </w:rPr>
        <w:t>owners</w:t>
      </w:r>
      <w:r w:rsidR="00326BF1">
        <w:rPr>
          <w:rFonts w:eastAsiaTheme="minorHAnsi"/>
        </w:rPr>
        <w:t xml:space="preserve">. </w:t>
      </w:r>
    </w:p>
    <w:p w14:paraId="7E95F88B" w14:textId="5F1E69EA" w:rsidR="00EC2764" w:rsidRDefault="00D01C30" w:rsidP="004C19CE">
      <w:pPr>
        <w:pStyle w:val="CETBodytext"/>
        <w:rPr>
          <w:rFonts w:eastAsiaTheme="minorHAnsi"/>
        </w:rPr>
      </w:pPr>
      <w:r>
        <w:rPr>
          <w:rFonts w:eastAsiaTheme="minorHAnsi"/>
        </w:rPr>
        <w:t xml:space="preserve">Dashboards are </w:t>
      </w:r>
      <w:r w:rsidR="00720A0F">
        <w:rPr>
          <w:rFonts w:eastAsiaTheme="minorHAnsi"/>
        </w:rPr>
        <w:t xml:space="preserve">designed to be composed of </w:t>
      </w:r>
      <w:r w:rsidR="00F11A67">
        <w:rPr>
          <w:rFonts w:eastAsiaTheme="minorHAnsi"/>
        </w:rPr>
        <w:t>multiple sections</w:t>
      </w:r>
      <w:r w:rsidR="00EC2764">
        <w:rPr>
          <w:rFonts w:eastAsiaTheme="minorHAnsi"/>
        </w:rPr>
        <w:t>:</w:t>
      </w:r>
    </w:p>
    <w:p w14:paraId="43A7B81B" w14:textId="489CA307" w:rsidR="00911A18" w:rsidRDefault="00F23707" w:rsidP="004C19CE">
      <w:pPr>
        <w:pStyle w:val="CETnumberingbullets"/>
        <w:jc w:val="both"/>
      </w:pPr>
      <w:r>
        <w:t xml:space="preserve">A main </w:t>
      </w:r>
      <w:r w:rsidR="001F5DCA">
        <w:t>board</w:t>
      </w:r>
      <w:r w:rsidR="00277998">
        <w:t xml:space="preserve"> giving an overview o</w:t>
      </w:r>
      <w:r w:rsidR="00720A0F">
        <w:t>f</w:t>
      </w:r>
      <w:r w:rsidR="00277998">
        <w:t xml:space="preserve"> plant </w:t>
      </w:r>
      <w:r w:rsidR="0015322A">
        <w:t xml:space="preserve">operation </w:t>
      </w:r>
      <w:r w:rsidR="00B752B2">
        <w:t xml:space="preserve">/ production, showing feedstock and product </w:t>
      </w:r>
      <w:r w:rsidR="00D16FB8">
        <w:t>quantity and quality</w:t>
      </w:r>
      <w:r w:rsidR="00A35E35">
        <w:t>.</w:t>
      </w:r>
    </w:p>
    <w:p w14:paraId="52E89EC3" w14:textId="411F8EB5" w:rsidR="00C4220A" w:rsidRDefault="001F5DCA" w:rsidP="00C4220A">
      <w:pPr>
        <w:pStyle w:val="CETnumberingbullets"/>
        <w:jc w:val="both"/>
      </w:pPr>
      <w:r>
        <w:t xml:space="preserve">Dedicated boards for each plant section, </w:t>
      </w:r>
      <w:r w:rsidR="008E6DEA">
        <w:t xml:space="preserve">showing the main operating parameters </w:t>
      </w:r>
      <w:r w:rsidR="007A5F37">
        <w:t xml:space="preserve">and the key factors </w:t>
      </w:r>
      <w:r w:rsidR="00304FA1">
        <w:t xml:space="preserve">that </w:t>
      </w:r>
      <w:r w:rsidR="00720A0F">
        <w:t xml:space="preserve">will </w:t>
      </w:r>
      <w:r w:rsidR="00304FA1">
        <w:t>be closely monitored</w:t>
      </w:r>
      <w:r w:rsidR="001F4E44">
        <w:t>.</w:t>
      </w:r>
    </w:p>
    <w:p w14:paraId="1CF5341A" w14:textId="6C0690A9" w:rsidR="00911A18" w:rsidRDefault="00BD5E4F" w:rsidP="00C4220A">
      <w:pPr>
        <w:pStyle w:val="CETnumberingbullets"/>
        <w:jc w:val="both"/>
      </w:pPr>
      <w:r>
        <w:t>Dedicated board</w:t>
      </w:r>
      <w:r w:rsidR="00855A9F">
        <w:t>s</w:t>
      </w:r>
      <w:r>
        <w:t xml:space="preserve"> resuming KPI of the plant and showing</w:t>
      </w:r>
      <w:r w:rsidR="00C40931">
        <w:t xml:space="preserve"> </w:t>
      </w:r>
      <w:r w:rsidR="003B5190">
        <w:t>possible saving</w:t>
      </w:r>
      <w:r w:rsidR="000A6383">
        <w:t>s</w:t>
      </w:r>
      <w:r w:rsidR="00C0563D">
        <w:t xml:space="preserve">. </w:t>
      </w:r>
    </w:p>
    <w:p w14:paraId="299AEF19" w14:textId="77777777" w:rsidR="00F51176" w:rsidRDefault="00F51176" w:rsidP="00F51176">
      <w:pPr>
        <w:pStyle w:val="CETnumberingbullets"/>
        <w:numPr>
          <w:ilvl w:val="0"/>
          <w:numId w:val="0"/>
        </w:numPr>
        <w:jc w:val="both"/>
      </w:pPr>
    </w:p>
    <w:p w14:paraId="499D502C" w14:textId="0A130E93" w:rsidR="00FF4DC9" w:rsidRDefault="00FF4DC9" w:rsidP="00FF4DC9">
      <w:pPr>
        <w:pStyle w:val="CETBodytext"/>
      </w:pPr>
      <w:r w:rsidRPr="00FF4DC9">
        <w:t xml:space="preserve">An example of </w:t>
      </w:r>
      <w:r w:rsidR="00720A0F">
        <w:t xml:space="preserve">a </w:t>
      </w:r>
      <w:r w:rsidRPr="00FF4DC9">
        <w:t xml:space="preserve">KPI which cannot be detected </w:t>
      </w:r>
      <w:r w:rsidR="001C4D95">
        <w:t>directly by looking at</w:t>
      </w:r>
      <w:r w:rsidRPr="00FF4DC9">
        <w:t xml:space="preserve"> </w:t>
      </w:r>
      <w:r w:rsidR="00720A0F">
        <w:t xml:space="preserve">the </w:t>
      </w:r>
      <w:r w:rsidRPr="00FF4DC9">
        <w:t xml:space="preserve">DCS is </w:t>
      </w:r>
      <w:r w:rsidR="007B3634">
        <w:t>the</w:t>
      </w:r>
      <w:r w:rsidRPr="00FF4DC9">
        <w:t xml:space="preserve"> Sulphur Recovery Efficiency (SRE). SRE is </w:t>
      </w:r>
      <w:r w:rsidR="009F3B18">
        <w:t xml:space="preserve">the </w:t>
      </w:r>
      <w:r w:rsidRPr="00FF4DC9">
        <w:t xml:space="preserve">main indicator of the </w:t>
      </w:r>
      <w:r w:rsidR="0071536B">
        <w:t xml:space="preserve">operation </w:t>
      </w:r>
      <w:r w:rsidR="00AC1E20">
        <w:t xml:space="preserve">of a </w:t>
      </w:r>
      <w:r w:rsidR="009F3B18">
        <w:t>S</w:t>
      </w:r>
      <w:r w:rsidR="00AC1E20">
        <w:t xml:space="preserve">ulphur plant </w:t>
      </w:r>
      <w:r w:rsidR="00F652CD">
        <w:t>as it gives the</w:t>
      </w:r>
      <w:r w:rsidR="00720A0F">
        <w:t xml:space="preserve"> percentage</w:t>
      </w:r>
      <w:r w:rsidR="00F652CD">
        <w:t xml:space="preserve"> of </w:t>
      </w:r>
      <w:r w:rsidR="002645D7">
        <w:t>S</w:t>
      </w:r>
      <w:r w:rsidR="00F652CD">
        <w:t xml:space="preserve">ulphur </w:t>
      </w:r>
      <w:r w:rsidR="008B0219">
        <w:t xml:space="preserve">recovered (and thus produced as liquid Sulphur) from the inlet streams. </w:t>
      </w:r>
      <w:r w:rsidR="00F3069F">
        <w:t xml:space="preserve">SRE is calculated as shown in </w:t>
      </w:r>
      <w:r w:rsidR="00D75BAB">
        <w:t xml:space="preserve">eq. </w:t>
      </w:r>
      <w:r w:rsidR="00EA116B">
        <w:t>1.</w:t>
      </w:r>
      <w:r w:rsidRPr="00FF4DC9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5"/>
        <w:gridCol w:w="802"/>
      </w:tblGrid>
      <w:tr w:rsidR="00D75BAB" w:rsidRPr="00B57B36" w14:paraId="3B0D5470" w14:textId="77777777" w:rsidTr="00483934">
        <w:tc>
          <w:tcPr>
            <w:tcW w:w="8188" w:type="dxa"/>
            <w:shd w:val="clear" w:color="auto" w:fill="auto"/>
            <w:vAlign w:val="center"/>
          </w:tcPr>
          <w:p w14:paraId="3F99D6D2" w14:textId="069F79FE" w:rsidR="00D75BAB" w:rsidRPr="00B57B36" w:rsidRDefault="00D75BAB" w:rsidP="00483934">
            <w:pPr>
              <w:pStyle w:val="CETEquation"/>
            </w:pPr>
            <w:r>
              <w:rPr>
                <w:noProof/>
                <w:snapToGrid w:val="0"/>
              </w:rPr>
              <w:lastRenderedPageBreak/>
              <w:drawing>
                <wp:inline distT="0" distB="0" distL="0" distR="0" wp14:anchorId="2F17BFDE" wp14:editId="239B453F">
                  <wp:extent cx="1200150" cy="36985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07" cy="37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BD30FAF" w14:textId="74A28E1D" w:rsidR="00D75BAB" w:rsidRPr="00B57B36" w:rsidRDefault="00D75BAB" w:rsidP="00483934">
            <w:pPr>
              <w:pStyle w:val="CETEquation"/>
              <w:jc w:val="right"/>
            </w:pPr>
            <w:r w:rsidRPr="00B57B36">
              <w:t>(</w:t>
            </w:r>
            <w:r>
              <w:t>1</w:t>
            </w:r>
            <w:r w:rsidRPr="00B57B36">
              <w:t>)</w:t>
            </w:r>
          </w:p>
        </w:tc>
      </w:tr>
    </w:tbl>
    <w:p w14:paraId="10CDBB5F" w14:textId="3F0BD3A2" w:rsidR="00D75BAB" w:rsidRDefault="00D75BAB" w:rsidP="00FF4DC9">
      <w:pPr>
        <w:pStyle w:val="CETBodytext"/>
      </w:pPr>
      <w:r>
        <w:t xml:space="preserve">Where: </w:t>
      </w:r>
    </w:p>
    <w:p w14:paraId="20B9DE0E" w14:textId="05895768" w:rsidR="00D75BAB" w:rsidRPr="00A57322" w:rsidRDefault="00D75BAB" w:rsidP="00D75BAB">
      <w:pPr>
        <w:pStyle w:val="CETnumberingbullets"/>
      </w:pPr>
      <w:r w:rsidRPr="00D75BAB">
        <w:rPr>
          <w:i/>
          <w:iCs/>
        </w:rPr>
        <w:t>S</w:t>
      </w:r>
      <w:r>
        <w:rPr>
          <w:vertAlign w:val="subscript"/>
        </w:rPr>
        <w:t>IN</w:t>
      </w:r>
      <w:r w:rsidRPr="00CD78A7">
        <w:t xml:space="preserve"> </w:t>
      </w:r>
      <w:r>
        <w:tab/>
        <w:t xml:space="preserve">Sulphur entering with </w:t>
      </w:r>
      <w:r w:rsidR="003A1324">
        <w:t>feedstocks</w:t>
      </w:r>
      <w:r w:rsidR="00EA116B">
        <w:t>;</w:t>
      </w:r>
    </w:p>
    <w:p w14:paraId="1588782F" w14:textId="5394D0E6" w:rsidR="00D75BAB" w:rsidRPr="00A57322" w:rsidRDefault="003A1324" w:rsidP="00D75BAB">
      <w:pPr>
        <w:pStyle w:val="CETnumberingbullets"/>
      </w:pPr>
      <w:r w:rsidRPr="003A1324">
        <w:rPr>
          <w:i/>
          <w:iCs/>
        </w:rPr>
        <w:t>S</w:t>
      </w:r>
      <w:r>
        <w:rPr>
          <w:vertAlign w:val="subscript"/>
        </w:rPr>
        <w:t>OUT</w:t>
      </w:r>
      <w:r w:rsidR="00D75BAB">
        <w:tab/>
      </w:r>
      <w:r>
        <w:t>Residual sulphur going to atmosphere at the end of the process</w:t>
      </w:r>
      <w:r w:rsidR="00EA116B">
        <w:t>.</w:t>
      </w:r>
    </w:p>
    <w:p w14:paraId="43C2C7FE" w14:textId="5AA52250" w:rsidR="00D75BAB" w:rsidRDefault="00547CA8" w:rsidP="00FF4DC9">
      <w:pPr>
        <w:pStyle w:val="CETBodytext"/>
        <w:rPr>
          <w:lang w:val="en-GB"/>
        </w:rPr>
      </w:pPr>
      <w:r>
        <w:rPr>
          <w:lang w:val="en-GB"/>
        </w:rPr>
        <w:t>A</w:t>
      </w:r>
      <w:r w:rsidR="001C4D95">
        <w:rPr>
          <w:lang w:val="en-GB"/>
        </w:rPr>
        <w:t>lthough deri</w:t>
      </w:r>
      <w:r>
        <w:rPr>
          <w:lang w:val="en-GB"/>
        </w:rPr>
        <w:t>ving</w:t>
      </w:r>
      <w:r w:rsidR="001C4D95">
        <w:rPr>
          <w:lang w:val="en-GB"/>
        </w:rPr>
        <w:t xml:space="preserve"> from a </w:t>
      </w:r>
      <w:r>
        <w:rPr>
          <w:lang w:val="en-GB"/>
        </w:rPr>
        <w:t xml:space="preserve">very </w:t>
      </w:r>
      <w:r w:rsidR="001C4D95">
        <w:rPr>
          <w:lang w:val="en-GB"/>
        </w:rPr>
        <w:t xml:space="preserve">linear reasoning, </w:t>
      </w:r>
      <w:r w:rsidR="003A1324">
        <w:rPr>
          <w:lang w:val="en-GB"/>
        </w:rPr>
        <w:t>SRE cannot be detected directly from any DCS sensor</w:t>
      </w:r>
      <w:r w:rsidR="006C5DA0">
        <w:rPr>
          <w:lang w:val="en-GB"/>
        </w:rPr>
        <w:t>,</w:t>
      </w:r>
      <w:r w:rsidR="003A1324">
        <w:rPr>
          <w:lang w:val="en-GB"/>
        </w:rPr>
        <w:t xml:space="preserve"> and </w:t>
      </w:r>
      <w:r w:rsidR="006C5DA0">
        <w:rPr>
          <w:lang w:val="en-GB"/>
        </w:rPr>
        <w:t>must</w:t>
      </w:r>
      <w:r w:rsidR="003A1324">
        <w:rPr>
          <w:lang w:val="en-GB"/>
        </w:rPr>
        <w:t xml:space="preserve"> be calculated after a </w:t>
      </w:r>
      <w:r w:rsidR="00EA116B">
        <w:rPr>
          <w:lang w:val="en-GB"/>
        </w:rPr>
        <w:t>substantial data</w:t>
      </w:r>
      <w:r w:rsidR="003A1324">
        <w:rPr>
          <w:lang w:val="en-GB"/>
        </w:rPr>
        <w:t xml:space="preserve"> analysis. </w:t>
      </w:r>
      <w:r w:rsidR="006C5DA0">
        <w:rPr>
          <w:lang w:val="en-GB"/>
        </w:rPr>
        <w:t xml:space="preserve">The </w:t>
      </w:r>
      <w:r w:rsidR="009F3B18">
        <w:rPr>
          <w:lang w:val="en-GB"/>
        </w:rPr>
        <w:t xml:space="preserve">DPM allows </w:t>
      </w:r>
      <w:r w:rsidR="006C5DA0">
        <w:rPr>
          <w:lang w:val="en-GB"/>
        </w:rPr>
        <w:t xml:space="preserve">an </w:t>
      </w:r>
      <w:r w:rsidR="009F3B18">
        <w:rPr>
          <w:lang w:val="en-GB"/>
        </w:rPr>
        <w:t xml:space="preserve">operator </w:t>
      </w:r>
      <w:r w:rsidR="008C257C">
        <w:rPr>
          <w:lang w:val="en-GB"/>
        </w:rPr>
        <w:t xml:space="preserve">to </w:t>
      </w:r>
      <w:r w:rsidR="009F3B18">
        <w:rPr>
          <w:lang w:val="en-GB"/>
        </w:rPr>
        <w:t>know at any time the SRE</w:t>
      </w:r>
      <w:r w:rsidR="006C5DA0">
        <w:rPr>
          <w:lang w:val="en-GB"/>
        </w:rPr>
        <w:t>’s</w:t>
      </w:r>
      <w:r w:rsidR="009F3B18">
        <w:rPr>
          <w:lang w:val="en-GB"/>
        </w:rPr>
        <w:t xml:space="preserve"> </w:t>
      </w:r>
      <w:r w:rsidR="00B4642D">
        <w:rPr>
          <w:lang w:val="en-GB"/>
        </w:rPr>
        <w:t xml:space="preserve">actual </w:t>
      </w:r>
      <w:r w:rsidR="00B177EC">
        <w:rPr>
          <w:lang w:val="en-GB"/>
        </w:rPr>
        <w:t>value.</w:t>
      </w:r>
    </w:p>
    <w:p w14:paraId="593BB07F" w14:textId="21977617" w:rsidR="00B701F4" w:rsidRDefault="007D584D" w:rsidP="00FF4DC9">
      <w:pPr>
        <w:pStyle w:val="CETBodytext"/>
        <w:rPr>
          <w:lang w:val="en-GB"/>
        </w:rPr>
      </w:pPr>
      <w:r>
        <w:rPr>
          <w:lang w:val="en-GB"/>
        </w:rPr>
        <w:t>For HPU</w:t>
      </w:r>
      <w:r w:rsidR="00322AC6">
        <w:rPr>
          <w:lang w:val="en-GB"/>
        </w:rPr>
        <w:t xml:space="preserve"> plants, </w:t>
      </w:r>
      <w:r>
        <w:rPr>
          <w:lang w:val="en-GB"/>
        </w:rPr>
        <w:t>t</w:t>
      </w:r>
      <w:r w:rsidR="0061218E">
        <w:rPr>
          <w:lang w:val="en-GB"/>
        </w:rPr>
        <w:t>he dashboard construction</w:t>
      </w:r>
      <w:r w:rsidR="00322AC6">
        <w:rPr>
          <w:lang w:val="en-GB"/>
        </w:rPr>
        <w:t xml:space="preserve"> philosophy</w:t>
      </w:r>
      <w:r w:rsidR="0061218E">
        <w:rPr>
          <w:lang w:val="en-GB"/>
        </w:rPr>
        <w:t xml:space="preserve"> is the same as </w:t>
      </w:r>
      <w:r w:rsidR="00322AC6">
        <w:rPr>
          <w:lang w:val="en-GB"/>
        </w:rPr>
        <w:t xml:space="preserve">for </w:t>
      </w:r>
      <w:r w:rsidR="0061218E">
        <w:rPr>
          <w:lang w:val="en-GB"/>
        </w:rPr>
        <w:t xml:space="preserve">SRU </w:t>
      </w:r>
      <w:r w:rsidR="00322AC6">
        <w:rPr>
          <w:lang w:val="en-GB"/>
        </w:rPr>
        <w:t xml:space="preserve">plants, </w:t>
      </w:r>
      <w:r w:rsidR="00EA116B">
        <w:rPr>
          <w:lang w:val="en-GB"/>
        </w:rPr>
        <w:t>providing th</w:t>
      </w:r>
      <w:r w:rsidR="00EF04C9">
        <w:rPr>
          <w:lang w:val="en-GB"/>
        </w:rPr>
        <w:t>e necessary process monitoring boards together with KPI boards</w:t>
      </w:r>
      <w:r w:rsidR="0061218E">
        <w:rPr>
          <w:lang w:val="en-GB"/>
        </w:rPr>
        <w:t>.</w:t>
      </w:r>
    </w:p>
    <w:p w14:paraId="06EB53D2" w14:textId="676D2C33" w:rsidR="0060298A" w:rsidRDefault="67D8E711" w:rsidP="00C8041E">
      <w:pPr>
        <w:pStyle w:val="CETHeading1"/>
        <w:tabs>
          <w:tab w:val="num" w:pos="360"/>
        </w:tabs>
      </w:pPr>
      <w:r>
        <w:t>Advantages of DPM</w:t>
      </w:r>
    </w:p>
    <w:p w14:paraId="090711CD" w14:textId="257F75A0" w:rsidR="00E11C9A" w:rsidRDefault="00C95237" w:rsidP="00986B2C">
      <w:pPr>
        <w:pStyle w:val="CETheadingx"/>
      </w:pPr>
      <w:r>
        <w:t>Licensor Modeling</w:t>
      </w:r>
    </w:p>
    <w:p w14:paraId="53D39258" w14:textId="438AE09D" w:rsidR="0089739A" w:rsidRDefault="00410E42" w:rsidP="00A00197">
      <w:pPr>
        <w:pStyle w:val="CETBodytext"/>
      </w:pPr>
      <w:r>
        <w:t xml:space="preserve">One of the </w:t>
      </w:r>
      <w:r w:rsidR="00CB1650">
        <w:t xml:space="preserve">main advantages that </w:t>
      </w:r>
      <w:r w:rsidR="00EA116B">
        <w:t>makes KT’s</w:t>
      </w:r>
      <w:r w:rsidR="00211619">
        <w:t xml:space="preserve"> </w:t>
      </w:r>
      <w:r w:rsidR="00CB1650">
        <w:t>DPM</w:t>
      </w:r>
      <w:r w:rsidR="009B70D0">
        <w:t xml:space="preserve"> stand out</w:t>
      </w:r>
      <w:r w:rsidR="00CB1650">
        <w:t xml:space="preserve"> </w:t>
      </w:r>
      <w:r w:rsidR="68AE6B0E">
        <w:t>compared</w:t>
      </w:r>
      <w:r w:rsidR="00211619">
        <w:t xml:space="preserve"> to </w:t>
      </w:r>
      <w:r w:rsidR="00983096">
        <w:t xml:space="preserve">competitors </w:t>
      </w:r>
      <w:r w:rsidR="005F73DA">
        <w:t>is in</w:t>
      </w:r>
      <w:r w:rsidR="00211619">
        <w:t xml:space="preserve"> the simulation engine. </w:t>
      </w:r>
      <w:r w:rsidR="00774F5D">
        <w:t xml:space="preserve">As </w:t>
      </w:r>
      <w:r w:rsidR="00211619">
        <w:t>licensor</w:t>
      </w:r>
      <w:r w:rsidR="00547EBB">
        <w:t xml:space="preserve">, KT </w:t>
      </w:r>
      <w:r w:rsidR="002C709A">
        <w:t xml:space="preserve">is </w:t>
      </w:r>
      <w:r w:rsidR="00547EBB">
        <w:t>the mo</w:t>
      </w:r>
      <w:r w:rsidR="00C8041E">
        <w:t xml:space="preserve">st </w:t>
      </w:r>
      <w:r w:rsidR="00547EBB">
        <w:t>expert modeler of its own licensed technologies.</w:t>
      </w:r>
      <w:r w:rsidR="002C709A">
        <w:t xml:space="preserve"> KT models are not only based on consolidated thermodynamics </w:t>
      </w:r>
      <w:r w:rsidR="00077F1A">
        <w:t>models but</w:t>
      </w:r>
      <w:r w:rsidR="002C709A">
        <w:t xml:space="preserve"> are also </w:t>
      </w:r>
      <w:r w:rsidR="00DA51D0">
        <w:t>improved</w:t>
      </w:r>
      <w:r w:rsidR="007A65D2">
        <w:t xml:space="preserve"> over</w:t>
      </w:r>
      <w:r w:rsidR="002C709A">
        <w:t xml:space="preserve"> the years in order to best fit data </w:t>
      </w:r>
      <w:r w:rsidR="0038078C">
        <w:t>acquired f</w:t>
      </w:r>
      <w:r w:rsidR="004F3C76">
        <w:t xml:space="preserve">rom several </w:t>
      </w:r>
      <w:r w:rsidR="0038078C">
        <w:t>operating plants.</w:t>
      </w:r>
    </w:p>
    <w:p w14:paraId="430F9BAC" w14:textId="3728A2E3" w:rsidR="0089739A" w:rsidRDefault="00BA4F6C" w:rsidP="00A00197">
      <w:pPr>
        <w:pStyle w:val="CETBodytext"/>
      </w:pPr>
      <w:r>
        <w:t xml:space="preserve">Another important </w:t>
      </w:r>
      <w:r w:rsidR="002B5FE8">
        <w:t>feature that</w:t>
      </w:r>
      <w:r w:rsidR="006F3B2C">
        <w:t xml:space="preserve"> </w:t>
      </w:r>
      <w:r w:rsidR="00D01035">
        <w:t>defines</w:t>
      </w:r>
      <w:r w:rsidR="002C2993">
        <w:t xml:space="preserve"> licensor advantages is the ability</w:t>
      </w:r>
      <w:r w:rsidR="00CB0A62">
        <w:t xml:space="preserve"> </w:t>
      </w:r>
      <w:r w:rsidR="002C2993">
        <w:t>to</w:t>
      </w:r>
      <w:r w:rsidR="00CB0A62">
        <w:t xml:space="preserve"> </w:t>
      </w:r>
      <w:r w:rsidR="00774F5D">
        <w:t xml:space="preserve">precisely </w:t>
      </w:r>
      <w:r w:rsidR="00EA116B">
        <w:t>simulate proprietary</w:t>
      </w:r>
      <w:r w:rsidR="00CB0A62">
        <w:t xml:space="preserve"> items. </w:t>
      </w:r>
      <w:r w:rsidR="00811610">
        <w:t>KT</w:t>
      </w:r>
      <w:r w:rsidR="006D3A7B">
        <w:t xml:space="preserve"> uses commercial </w:t>
      </w:r>
      <w:r w:rsidR="00811610">
        <w:t>simulato</w:t>
      </w:r>
      <w:r w:rsidR="006D3A7B">
        <w:t>rs</w:t>
      </w:r>
      <w:r w:rsidR="003A031E">
        <w:t xml:space="preserve"> customized</w:t>
      </w:r>
      <w:r w:rsidR="00B5421D">
        <w:t xml:space="preserve"> for the</w:t>
      </w:r>
      <w:r w:rsidR="003A031E">
        <w:t xml:space="preserve"> unit operations </w:t>
      </w:r>
      <w:r w:rsidR="00AF6763">
        <w:t>with a</w:t>
      </w:r>
      <w:r w:rsidR="00930C1E">
        <w:t xml:space="preserve"> proprietary </w:t>
      </w:r>
      <w:r w:rsidR="00CD64B8">
        <w:t>design</w:t>
      </w:r>
      <w:r w:rsidR="00EE396F">
        <w:t xml:space="preserve">: for such </w:t>
      </w:r>
      <w:r w:rsidR="00187881">
        <w:t>equipment</w:t>
      </w:r>
      <w:r w:rsidR="00EE396F">
        <w:t xml:space="preserve">, proprietary models have been implemented </w:t>
      </w:r>
      <w:r w:rsidR="00E40DEA">
        <w:t>in commercial simulators</w:t>
      </w:r>
      <w:r w:rsidR="00AF551D">
        <w:t xml:space="preserve"> to </w:t>
      </w:r>
      <w:r w:rsidR="009925ED">
        <w:t>create a customized “unit operation block”</w:t>
      </w:r>
      <w:r w:rsidR="00AF551D">
        <w:t xml:space="preserve">. </w:t>
      </w:r>
      <w:r w:rsidR="005F73DA">
        <w:t>Considering,</w:t>
      </w:r>
      <w:r w:rsidR="00774F5D">
        <w:t xml:space="preserve"> for example</w:t>
      </w:r>
      <w:r w:rsidR="005F73DA">
        <w:t>,</w:t>
      </w:r>
      <w:r w:rsidR="00774F5D">
        <w:t xml:space="preserve"> a SRU plant, </w:t>
      </w:r>
      <w:r w:rsidR="00645727">
        <w:t xml:space="preserve">which </w:t>
      </w:r>
      <w:r w:rsidR="00D650A2">
        <w:t>uses customized</w:t>
      </w:r>
      <w:r w:rsidR="00B5421D">
        <w:t xml:space="preserve"> </w:t>
      </w:r>
      <w:r w:rsidR="00C61EA3">
        <w:t xml:space="preserve">Unit Operation for Sulphur Condensers and </w:t>
      </w:r>
      <w:r w:rsidR="00774F5D">
        <w:t xml:space="preserve">a </w:t>
      </w:r>
      <w:r w:rsidR="00E05481">
        <w:t xml:space="preserve">Thermal Reactor Waste Heat Boiler: </w:t>
      </w:r>
      <w:r w:rsidR="00462B7C">
        <w:t xml:space="preserve">these two </w:t>
      </w:r>
      <w:r w:rsidR="00774F5D">
        <w:t xml:space="preserve">pieces of </w:t>
      </w:r>
      <w:r w:rsidR="00462B7C">
        <w:t xml:space="preserve">equipment are not </w:t>
      </w:r>
      <w:r w:rsidR="00B33E93">
        <w:t>modeled</w:t>
      </w:r>
      <w:r w:rsidR="00462B7C">
        <w:t xml:space="preserve"> as a regular heat </w:t>
      </w:r>
      <w:r w:rsidR="00BA727B">
        <w:t>exchanger but</w:t>
      </w:r>
      <w:r w:rsidR="00462B7C">
        <w:t xml:space="preserve"> have their own dedicated simulation block </w:t>
      </w:r>
      <w:r w:rsidR="00301AE5">
        <w:t xml:space="preserve">which </w:t>
      </w:r>
      <w:r w:rsidR="00DF62B6">
        <w:t>implements</w:t>
      </w:r>
      <w:r w:rsidR="005964B2">
        <w:t xml:space="preserve"> the KT models to </w:t>
      </w:r>
      <w:r w:rsidR="005A78BA">
        <w:t>simulate the complex</w:t>
      </w:r>
      <w:r w:rsidR="00077F1A">
        <w:t xml:space="preserve"> of</w:t>
      </w:r>
      <w:r w:rsidR="005A78BA">
        <w:t xml:space="preserve"> </w:t>
      </w:r>
      <w:r w:rsidR="00DB68C5">
        <w:t xml:space="preserve">the </w:t>
      </w:r>
      <w:r w:rsidR="005A78BA">
        <w:t>chemistry</w:t>
      </w:r>
      <w:r w:rsidR="00DB68C5">
        <w:t>/thermodynamics</w:t>
      </w:r>
      <w:r w:rsidR="005A78BA">
        <w:t xml:space="preserve"> </w:t>
      </w:r>
      <w:r w:rsidR="00DB68C5">
        <w:t>involved</w:t>
      </w:r>
      <w:r w:rsidR="00A64E9A">
        <w:t xml:space="preserve"> (e.g. chemical reactions for </w:t>
      </w:r>
      <w:r w:rsidR="002B490D">
        <w:t>s</w:t>
      </w:r>
      <w:r w:rsidR="00A64E9A">
        <w:t>ulphur recombination</w:t>
      </w:r>
      <w:r w:rsidR="00E57A58">
        <w:t>).</w:t>
      </w:r>
      <w:r w:rsidR="00636841">
        <w:t xml:space="preserve"> </w:t>
      </w:r>
    </w:p>
    <w:p w14:paraId="0AA7B46A" w14:textId="69091EF1" w:rsidR="00F911FE" w:rsidRDefault="00DD0EE5" w:rsidP="00A00197">
      <w:pPr>
        <w:pStyle w:val="CETBodytext"/>
      </w:pPr>
      <w:r>
        <w:t>Th</w:t>
      </w:r>
      <w:r w:rsidR="001A6326">
        <w:t>is being said,</w:t>
      </w:r>
      <w:r>
        <w:t xml:space="preserve"> </w:t>
      </w:r>
      <w:r w:rsidR="00CF1907">
        <w:t>DPM</w:t>
      </w:r>
      <w:r w:rsidRPr="00D92EB5">
        <w:t>, leverag</w:t>
      </w:r>
      <w:r w:rsidR="0022606C">
        <w:t>ing</w:t>
      </w:r>
      <w:r w:rsidRPr="00D92EB5">
        <w:t xml:space="preserve"> on </w:t>
      </w:r>
      <w:r>
        <w:t>Licensor models, provid</w:t>
      </w:r>
      <w:r w:rsidR="0022606C">
        <w:t>es</w:t>
      </w:r>
      <w:r>
        <w:t xml:space="preserve"> the strongest theoretical basis</w:t>
      </w:r>
      <w:r w:rsidR="00535F2A">
        <w:t xml:space="preserve"> and s</w:t>
      </w:r>
      <w:r w:rsidR="0038078C">
        <w:t>o</w:t>
      </w:r>
      <w:r w:rsidR="00535F2A">
        <w:t xml:space="preserve"> the most reliable </w:t>
      </w:r>
      <w:r w:rsidR="00F911FE">
        <w:t>prediction o</w:t>
      </w:r>
      <w:r w:rsidR="00774F5D">
        <w:t xml:space="preserve">f a </w:t>
      </w:r>
      <w:r w:rsidR="2725DEEE">
        <w:t>plant's</w:t>
      </w:r>
      <w:r w:rsidR="00F911FE">
        <w:t xml:space="preserve"> behavior. </w:t>
      </w:r>
    </w:p>
    <w:p w14:paraId="7B9E4AB6" w14:textId="2D20EA3C" w:rsidR="006E378B" w:rsidRDefault="006E378B" w:rsidP="00986B2C">
      <w:pPr>
        <w:pStyle w:val="CETheadingx"/>
      </w:pPr>
      <w:r>
        <w:t>Data Reconciliation</w:t>
      </w:r>
    </w:p>
    <w:p w14:paraId="09F1CD95" w14:textId="64B50D3F" w:rsidR="00E80895" w:rsidRDefault="31E6004F" w:rsidP="006E378B">
      <w:pPr>
        <w:pStyle w:val="CETBodytext"/>
      </w:pPr>
      <w:r>
        <w:t>Data</w:t>
      </w:r>
      <w:r w:rsidR="002B6495">
        <w:t xml:space="preserve"> reconciliation is an important </w:t>
      </w:r>
      <w:r w:rsidR="000B6D5D">
        <w:t>feature</w:t>
      </w:r>
      <w:r w:rsidR="00CF1907">
        <w:t xml:space="preserve"> of </w:t>
      </w:r>
      <w:r w:rsidR="006C702F">
        <w:t>KT</w:t>
      </w:r>
      <w:r w:rsidR="00774F5D">
        <w:t>’s</w:t>
      </w:r>
      <w:r w:rsidR="006C702F">
        <w:t xml:space="preserve"> DPM. </w:t>
      </w:r>
      <w:r w:rsidR="00D01D4A">
        <w:t>Data reconciliat</w:t>
      </w:r>
      <w:r w:rsidR="00C670DF">
        <w:t xml:space="preserve">ion gives an automatic resolution for a problem that </w:t>
      </w:r>
      <w:r w:rsidR="00774F5D">
        <w:t xml:space="preserve">until now has been </w:t>
      </w:r>
      <w:r w:rsidR="00EA116B">
        <w:t>solved manually</w:t>
      </w:r>
      <w:r w:rsidR="00CF1907">
        <w:t xml:space="preserve"> </w:t>
      </w:r>
      <w:r w:rsidR="007E2B50">
        <w:t xml:space="preserve">by </w:t>
      </w:r>
      <w:r w:rsidR="00774F5D">
        <w:t xml:space="preserve">the </w:t>
      </w:r>
      <w:r w:rsidR="007E2B50">
        <w:t>Licensor</w:t>
      </w:r>
      <w:r w:rsidR="00774F5D">
        <w:t>’</w:t>
      </w:r>
      <w:r w:rsidR="007E2B50">
        <w:t>s engineers.</w:t>
      </w:r>
    </w:p>
    <w:p w14:paraId="39B78BB9" w14:textId="27DEEE6A" w:rsidR="00187B19" w:rsidRDefault="009126C6" w:rsidP="006E378B">
      <w:pPr>
        <w:pStyle w:val="CETBodytext"/>
      </w:pPr>
      <w:r>
        <w:t xml:space="preserve">As </w:t>
      </w:r>
      <w:r w:rsidR="00774F5D">
        <w:t xml:space="preserve">already </w:t>
      </w:r>
      <w:r>
        <w:t>said,</w:t>
      </w:r>
      <w:r w:rsidR="00AD137C">
        <w:t xml:space="preserve"> t</w:t>
      </w:r>
      <w:r w:rsidR="00AD137C" w:rsidRPr="00644760">
        <w:t xml:space="preserve">he quality of online measured operational data is usually not satisfactory for the </w:t>
      </w:r>
      <w:r w:rsidR="00E3235B">
        <w:t xml:space="preserve">evaluation of the plant’s </w:t>
      </w:r>
      <w:r w:rsidR="00AD137C" w:rsidRPr="00644760">
        <w:t xml:space="preserve">performance, because they are never error free, </w:t>
      </w:r>
      <w:r w:rsidR="00B333EA">
        <w:t xml:space="preserve">and </w:t>
      </w:r>
      <w:r w:rsidR="00AD137C" w:rsidRPr="00644760">
        <w:t>even careful installation and maintenance of the hardware cannot completely eliminate this problem.</w:t>
      </w:r>
      <w:r>
        <w:t xml:space="preserve"> </w:t>
      </w:r>
      <w:r w:rsidR="007E2B50">
        <w:t xml:space="preserve">In fact, </w:t>
      </w:r>
      <w:r w:rsidR="00C3423F">
        <w:t xml:space="preserve">after collection of </w:t>
      </w:r>
      <w:r w:rsidR="007E2B50">
        <w:t xml:space="preserve">plant data, </w:t>
      </w:r>
      <w:r w:rsidR="00EA116B">
        <w:t>the involved engineers always conduct an analysis</w:t>
      </w:r>
      <w:r w:rsidR="00B6681C">
        <w:t xml:space="preserve"> to</w:t>
      </w:r>
      <w:r w:rsidR="00C81C71">
        <w:t xml:space="preserve"> make raw data</w:t>
      </w:r>
      <w:r w:rsidR="00FB376A">
        <w:t xml:space="preserve"> </w:t>
      </w:r>
      <w:r w:rsidR="004805B9">
        <w:t xml:space="preserve">consistent </w:t>
      </w:r>
      <w:r w:rsidR="002F2569">
        <w:t xml:space="preserve">(for example from H&amp;MB perspective) </w:t>
      </w:r>
      <w:r w:rsidR="004805B9">
        <w:t>so</w:t>
      </w:r>
      <w:r w:rsidR="00774F5D">
        <w:t xml:space="preserve"> as</w:t>
      </w:r>
      <w:r w:rsidR="004805B9">
        <w:t xml:space="preserve"> to conduct a</w:t>
      </w:r>
      <w:r w:rsidR="00444342">
        <w:t xml:space="preserve"> reliable </w:t>
      </w:r>
      <w:r w:rsidR="00231121">
        <w:t>assessment</w:t>
      </w:r>
      <w:r w:rsidR="00444342">
        <w:t xml:space="preserve"> of</w:t>
      </w:r>
      <w:r w:rsidR="00231121">
        <w:t xml:space="preserve"> plant behavior. </w:t>
      </w:r>
    </w:p>
    <w:p w14:paraId="783E0ED7" w14:textId="322CBB27" w:rsidR="002E38DE" w:rsidRDefault="00187B19" w:rsidP="006E378B">
      <w:pPr>
        <w:pStyle w:val="CETBodytext"/>
      </w:pPr>
      <w:r w:rsidRPr="00644760">
        <w:t>Data reconciliation is a data preprocessing technique which can improve the accuracy of measured data through process modeling and optimization</w:t>
      </w:r>
      <w:r>
        <w:t>, identifying potential anomalies in the input data.</w:t>
      </w:r>
      <w:r w:rsidR="00C47272">
        <w:t xml:space="preserve"> </w:t>
      </w:r>
      <w:r w:rsidR="00AF6F20">
        <w:t xml:space="preserve">In </w:t>
      </w:r>
      <w:r w:rsidR="00850B87">
        <w:t>other words</w:t>
      </w:r>
      <w:r w:rsidR="00AF6F20">
        <w:t xml:space="preserve">, </w:t>
      </w:r>
      <w:r w:rsidR="00375709">
        <w:t>L</w:t>
      </w:r>
      <w:r w:rsidR="009C418F">
        <w:t>ice</w:t>
      </w:r>
      <w:r w:rsidR="00872B90">
        <w:t>n</w:t>
      </w:r>
      <w:r w:rsidR="009C418F">
        <w:t>sor</w:t>
      </w:r>
      <w:r w:rsidR="00CE6444">
        <w:t xml:space="preserve"> </w:t>
      </w:r>
      <w:r w:rsidR="00294BCF">
        <w:t>d</w:t>
      </w:r>
      <w:r w:rsidR="004D7851">
        <w:t xml:space="preserve">ata </w:t>
      </w:r>
      <w:r w:rsidR="00294BCF">
        <w:t>a</w:t>
      </w:r>
      <w:r w:rsidR="00872B90">
        <w:t xml:space="preserve">nalysis is </w:t>
      </w:r>
      <w:r w:rsidR="00D14AC1">
        <w:t>provided</w:t>
      </w:r>
      <w:r w:rsidR="00872B90">
        <w:t xml:space="preserve"> to </w:t>
      </w:r>
      <w:r w:rsidR="00375709">
        <w:t xml:space="preserve">plant owner </w:t>
      </w:r>
      <w:r w:rsidR="00850B87">
        <w:t>as</w:t>
      </w:r>
      <w:r w:rsidR="00872B90">
        <w:t xml:space="preserve"> a ready</w:t>
      </w:r>
      <w:r w:rsidR="00774F5D">
        <w:t>-</w:t>
      </w:r>
      <w:r w:rsidR="00872B90">
        <w:t>to</w:t>
      </w:r>
      <w:r w:rsidR="00EA116B">
        <w:t>-</w:t>
      </w:r>
      <w:r w:rsidR="00872B90">
        <w:t>use tool</w:t>
      </w:r>
      <w:r w:rsidR="00D14AC1">
        <w:t>.</w:t>
      </w:r>
    </w:p>
    <w:p w14:paraId="49C9E30A" w14:textId="77777777" w:rsidR="00F51176" w:rsidRDefault="00F51176" w:rsidP="006E378B">
      <w:pPr>
        <w:pStyle w:val="CETBodytext"/>
      </w:pPr>
    </w:p>
    <w:p w14:paraId="5E89FA7E" w14:textId="73584BD7" w:rsidR="0051120F" w:rsidRDefault="0051120F" w:rsidP="0051120F">
      <w:pPr>
        <w:pStyle w:val="CETBodytext"/>
      </w:pPr>
      <w:r>
        <w:t xml:space="preserve">On the theoretical side, data reconciliation is summarized as </w:t>
      </w:r>
      <w:r w:rsidR="7EF1337F">
        <w:t>a</w:t>
      </w:r>
      <w:r>
        <w:t xml:space="preserve"> </w:t>
      </w:r>
      <w:r w:rsidR="000214B9">
        <w:t xml:space="preserve">general </w:t>
      </w:r>
      <w:r>
        <w:t>optimization problem</w:t>
      </w:r>
      <w:r w:rsidR="003D393D">
        <w:t xml:space="preserve">, solving an objective function. The objective function is a weighted sum of the relative differences between selected reconciled </w:t>
      </w:r>
      <w:r w:rsidR="6017B696">
        <w:t xml:space="preserve">process data </w:t>
      </w:r>
      <w:r w:rsidR="003D393D">
        <w:t xml:space="preserve">and </w:t>
      </w:r>
      <w:r w:rsidR="296AAC74">
        <w:t xml:space="preserve">the corresponding </w:t>
      </w:r>
      <w:r w:rsidR="77F2F665">
        <w:t xml:space="preserve">DCS </w:t>
      </w:r>
      <w:r w:rsidR="396AD500">
        <w:t>process measured</w:t>
      </w:r>
      <w:r w:rsidR="003D393D">
        <w:t xml:space="preserve"> data as indicated by the formula </w:t>
      </w:r>
      <w:r w:rsidR="00774F5D">
        <w:t xml:space="preserve">shown </w:t>
      </w:r>
      <w:r w:rsidR="0011766F">
        <w:t>below</w:t>
      </w:r>
      <w:r w:rsidR="00D75BAB">
        <w:t xml:space="preserve"> (eq. 2)</w:t>
      </w:r>
      <w:r w:rsidR="0011766F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7"/>
        <w:gridCol w:w="800"/>
      </w:tblGrid>
      <w:tr w:rsidR="00BE444B" w:rsidRPr="00B57B36" w14:paraId="68C721D9" w14:textId="77777777" w:rsidTr="00AA2266">
        <w:tc>
          <w:tcPr>
            <w:tcW w:w="8188" w:type="dxa"/>
            <w:shd w:val="clear" w:color="auto" w:fill="auto"/>
            <w:vAlign w:val="center"/>
          </w:tcPr>
          <w:p w14:paraId="2CA9B1D0" w14:textId="751EB926" w:rsidR="00BE444B" w:rsidRPr="00B57B36" w:rsidRDefault="007E6707" w:rsidP="00AA2266">
            <w:pPr>
              <w:pStyle w:val="CETEquation"/>
            </w:pPr>
            <w:r w:rsidRPr="00494A15">
              <w:rPr>
                <w:noProof/>
              </w:rPr>
              <w:drawing>
                <wp:inline distT="0" distB="0" distL="0" distR="0" wp14:anchorId="36B1D879" wp14:editId="0AE704B6">
                  <wp:extent cx="1898650" cy="423098"/>
                  <wp:effectExtent l="0" t="0" r="6350" b="0"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F4EC33-5192-4C4E-9091-F0CEC66A65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4">
                            <a:extLst>
                              <a:ext uri="{FF2B5EF4-FFF2-40B4-BE49-F238E27FC236}">
                                <a16:creationId xmlns:a16="http://schemas.microsoft.com/office/drawing/2014/main" id="{E7F4EC33-5192-4C4E-9091-F0CEC66A65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40" cy="44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5174538" w14:textId="35B0E7B7" w:rsidR="00BE444B" w:rsidRPr="00B57B36" w:rsidRDefault="00BE444B" w:rsidP="00AA2266">
            <w:pPr>
              <w:pStyle w:val="CETEquation"/>
              <w:jc w:val="right"/>
            </w:pPr>
            <w:r w:rsidRPr="00B57B36">
              <w:t>(</w:t>
            </w:r>
            <w:r w:rsidR="00D75BAB">
              <w:t>2</w:t>
            </w:r>
            <w:r w:rsidRPr="00B57B36">
              <w:t>)</w:t>
            </w:r>
          </w:p>
        </w:tc>
      </w:tr>
    </w:tbl>
    <w:p w14:paraId="2EB9FB4B" w14:textId="2BAE020E" w:rsidR="0051120F" w:rsidRDefault="0051120F" w:rsidP="0051120F">
      <w:pPr>
        <w:pStyle w:val="BodyText"/>
      </w:pPr>
      <w:r>
        <w:t>Where</w:t>
      </w:r>
      <w:r w:rsidR="007E5F83">
        <w:t>:</w:t>
      </w:r>
    </w:p>
    <w:p w14:paraId="2FEA3680" w14:textId="4C32BC1C" w:rsidR="0051120F" w:rsidRPr="00A57322" w:rsidRDefault="0051120F" w:rsidP="004C58FC">
      <w:pPr>
        <w:pStyle w:val="CETnumberingbullets"/>
      </w:pPr>
      <w:r w:rsidRPr="00CD78A7">
        <w:t xml:space="preserve">N </w:t>
      </w:r>
      <w:r>
        <w:tab/>
      </w:r>
      <w:r w:rsidR="00AB1885">
        <w:tab/>
      </w:r>
      <w:r w:rsidRPr="00CD78A7">
        <w:t>Number of variables</w:t>
      </w:r>
      <w:r>
        <w:t xml:space="preserve"> selected for the objective function</w:t>
      </w:r>
      <w:r w:rsidR="00EA116B">
        <w:t>;</w:t>
      </w:r>
    </w:p>
    <w:p w14:paraId="4739A690" w14:textId="51674B7F" w:rsidR="0051120F" w:rsidRPr="00A57322" w:rsidRDefault="0051120F" w:rsidP="004C58FC">
      <w:pPr>
        <w:pStyle w:val="CETnumberingbullets"/>
      </w:pPr>
      <w:r w:rsidRPr="00CD78A7">
        <w:t>X</w:t>
      </w:r>
      <w:r w:rsidRPr="00AB1885">
        <w:rPr>
          <w:vertAlign w:val="subscript"/>
        </w:rPr>
        <w:t>DCS</w:t>
      </w:r>
      <w:r>
        <w:tab/>
      </w:r>
      <w:r w:rsidR="00774F5D">
        <w:tab/>
      </w:r>
      <w:r w:rsidRPr="00CD78A7">
        <w:t>DCS Data (</w:t>
      </w:r>
      <w:r w:rsidR="3D30F556">
        <w:t>measured</w:t>
      </w:r>
      <w:r w:rsidRPr="00CD78A7">
        <w:t xml:space="preserve"> </w:t>
      </w:r>
      <w:r>
        <w:t>validated</w:t>
      </w:r>
      <w:r w:rsidRPr="00CD78A7">
        <w:t xml:space="preserve"> data)</w:t>
      </w:r>
      <w:r w:rsidR="00EA116B">
        <w:t>;</w:t>
      </w:r>
    </w:p>
    <w:p w14:paraId="09B7C8E5" w14:textId="02C8325D" w:rsidR="0051120F" w:rsidRPr="00A57322" w:rsidRDefault="0051120F" w:rsidP="004C58FC">
      <w:pPr>
        <w:pStyle w:val="CETnumberingbullets"/>
      </w:pPr>
      <w:r w:rsidRPr="00CD78A7">
        <w:t>X</w:t>
      </w:r>
      <w:r w:rsidRPr="00AB1885">
        <w:rPr>
          <w:vertAlign w:val="subscript"/>
        </w:rPr>
        <w:t>CALC</w:t>
      </w:r>
      <w:r w:rsidRPr="00CD78A7">
        <w:t xml:space="preserve"> </w:t>
      </w:r>
      <w:r>
        <w:tab/>
        <w:t xml:space="preserve">Data reconciled </w:t>
      </w:r>
      <w:r w:rsidR="020B26F4">
        <w:t xml:space="preserve">calculated </w:t>
      </w:r>
      <w:r>
        <w:t>by</w:t>
      </w:r>
      <w:r w:rsidRPr="00CD78A7">
        <w:t xml:space="preserve"> Process Simulator</w:t>
      </w:r>
      <w:r w:rsidR="00EA116B">
        <w:t>;</w:t>
      </w:r>
    </w:p>
    <w:p w14:paraId="3C1412B2" w14:textId="36FF84D5" w:rsidR="007E6707" w:rsidRDefault="7EF1337F" w:rsidP="6F5BAC01">
      <w:pPr>
        <w:pStyle w:val="CETnumberingbullets"/>
      </w:pPr>
      <w:r>
        <w:t>W</w:t>
      </w:r>
      <w:r w:rsidRPr="6F5BAC01">
        <w:rPr>
          <w:vertAlign w:val="subscript"/>
        </w:rPr>
        <w:t>i</w:t>
      </w:r>
      <w:r>
        <w:t xml:space="preserve"> </w:t>
      </w:r>
      <w:r w:rsidR="25CF95F1">
        <w:tab/>
      </w:r>
      <w:r w:rsidR="25CF95F1">
        <w:tab/>
      </w:r>
      <w:r w:rsidR="3864397F">
        <w:t>W</w:t>
      </w:r>
      <w:r>
        <w:t xml:space="preserve">eight factor chosen </w:t>
      </w:r>
      <w:r w:rsidR="3864397F">
        <w:t xml:space="preserve">by KT </w:t>
      </w:r>
      <w:r>
        <w:t xml:space="preserve">to reflect the </w:t>
      </w:r>
      <w:r w:rsidR="7DC97980">
        <w:t>importance</w:t>
      </w:r>
      <w:r>
        <w:t xml:space="preserve"> of </w:t>
      </w:r>
      <w:r w:rsidR="0A45CDD6">
        <w:t xml:space="preserve">each process data considered in the </w:t>
      </w:r>
      <w:r w:rsidR="25CF95F1">
        <w:tab/>
      </w:r>
      <w:r w:rsidR="25CF95F1">
        <w:tab/>
      </w:r>
      <w:r w:rsidR="0A45CDD6">
        <w:t xml:space="preserve"> objective function.</w:t>
      </w:r>
    </w:p>
    <w:p w14:paraId="69D44E3C" w14:textId="378289BD" w:rsidR="007E6707" w:rsidRDefault="007E6707" w:rsidP="6F5BAC01">
      <w:pPr>
        <w:pStyle w:val="CETnumberingbullets"/>
        <w:numPr>
          <w:ilvl w:val="0"/>
          <w:numId w:val="0"/>
        </w:numPr>
      </w:pPr>
    </w:p>
    <w:p w14:paraId="688A9F33" w14:textId="02FA8922" w:rsidR="007E6707" w:rsidRDefault="25CF95F1" w:rsidP="6F5BAC01">
      <w:pPr>
        <w:pStyle w:val="CETnumberingbullets"/>
        <w:numPr>
          <w:ilvl w:val="0"/>
          <w:numId w:val="0"/>
        </w:numPr>
        <w:jc w:val="both"/>
      </w:pPr>
      <w:r>
        <w:lastRenderedPageBreak/>
        <w:t xml:space="preserve">Minimization of the objective function is done by </w:t>
      </w:r>
      <w:r w:rsidR="21BD1D65">
        <w:t>manipulat</w:t>
      </w:r>
      <w:r w:rsidR="428FE0CC">
        <w:t>ing</w:t>
      </w:r>
      <w:r w:rsidR="272AB439">
        <w:t xml:space="preserve"> some of the variables </w:t>
      </w:r>
      <w:r w:rsidR="6493E027">
        <w:t>involved in the reconciliation</w:t>
      </w:r>
      <w:r w:rsidR="00C369C0">
        <w:t xml:space="preserve"> (</w:t>
      </w:r>
      <w:r w:rsidR="45ECA013">
        <w:t xml:space="preserve">typically coincident with the process data controlled by </w:t>
      </w:r>
      <w:r w:rsidR="00774F5D">
        <w:t xml:space="preserve">the </w:t>
      </w:r>
      <w:r w:rsidR="45ECA013">
        <w:t>DCS</w:t>
      </w:r>
      <w:r w:rsidR="1590685A">
        <w:t>)</w:t>
      </w:r>
      <w:r w:rsidR="6027A3CD">
        <w:t>.</w:t>
      </w:r>
      <w:r w:rsidR="3290A834">
        <w:t xml:space="preserve"> </w:t>
      </w:r>
      <w:r w:rsidR="3A5AF52E">
        <w:t>T</w:t>
      </w:r>
      <w:r w:rsidR="3290A834">
        <w:t xml:space="preserve">he </w:t>
      </w:r>
      <w:r w:rsidR="58707641">
        <w:t xml:space="preserve">choice of the </w:t>
      </w:r>
      <w:r w:rsidR="3A5AF52E">
        <w:t>manipulated variables</w:t>
      </w:r>
      <w:r w:rsidR="005F73DA">
        <w:t>,</w:t>
      </w:r>
      <w:r w:rsidR="3A5AF52E">
        <w:t xml:space="preserve"> among all </w:t>
      </w:r>
      <w:r w:rsidR="00774F5D">
        <w:t xml:space="preserve">the </w:t>
      </w:r>
      <w:r w:rsidR="3A5AF52E">
        <w:t xml:space="preserve">DCS recorded </w:t>
      </w:r>
      <w:r w:rsidR="68D7E361">
        <w:t>data</w:t>
      </w:r>
      <w:r w:rsidR="005F73DA">
        <w:t>,</w:t>
      </w:r>
      <w:r w:rsidR="68D7E361">
        <w:t xml:space="preserve"> </w:t>
      </w:r>
      <w:r w:rsidR="0129F1A9">
        <w:t>is performed by KT</w:t>
      </w:r>
      <w:r w:rsidR="51E92997">
        <w:t xml:space="preserve"> leveraging on licensor </w:t>
      </w:r>
      <w:r w:rsidR="006521B1">
        <w:t>knowledge</w:t>
      </w:r>
      <w:r w:rsidR="2F254433">
        <w:t>.</w:t>
      </w:r>
      <w:r w:rsidR="02FA9036">
        <w:t xml:space="preserve"> </w:t>
      </w:r>
      <w:r w:rsidR="70FBF597">
        <w:t>The v</w:t>
      </w:r>
      <w:r w:rsidR="02FA9036">
        <w:t xml:space="preserve">ariables are manipulated inside a </w:t>
      </w:r>
      <w:r w:rsidR="70FBF597">
        <w:t>certain interval</w:t>
      </w:r>
      <w:r w:rsidR="02FA9036">
        <w:t xml:space="preserve"> </w:t>
      </w:r>
      <w:r w:rsidR="4A3ACB29">
        <w:t xml:space="preserve">(standard deviation) which is also implemented by </w:t>
      </w:r>
      <w:r w:rsidR="07E7D25D">
        <w:t>KT</w:t>
      </w:r>
      <w:r w:rsidR="70FBF597">
        <w:t xml:space="preserve"> according to </w:t>
      </w:r>
      <w:r w:rsidR="4BA9CC27">
        <w:t xml:space="preserve">the type of </w:t>
      </w:r>
      <w:r w:rsidR="2313DC50">
        <w:t>process data processed</w:t>
      </w:r>
      <w:r w:rsidR="540A69EE">
        <w:t>.</w:t>
      </w:r>
      <w:r w:rsidR="48D8BDDB">
        <w:t xml:space="preserve"> </w:t>
      </w:r>
      <w:r w:rsidR="58756CB5">
        <w:t xml:space="preserve">The </w:t>
      </w:r>
      <w:r w:rsidR="371AF867">
        <w:t>mathematical problem is solve</w:t>
      </w:r>
      <w:r w:rsidR="7A628F93">
        <w:t>d through the Bobyqa algorithm, which</w:t>
      </w:r>
      <w:r w:rsidR="1666D5F2">
        <w:t xml:space="preserve"> consists in a variation of Powell method </w:t>
      </w:r>
      <w:r w:rsidR="4743DC58">
        <w:t>for finding a</w:t>
      </w:r>
      <w:r w:rsidR="001A0718">
        <w:t xml:space="preserve"> </w:t>
      </w:r>
      <w:hyperlink r:id="rId15">
        <w:r w:rsidR="4743DC58">
          <w:t>local minimum</w:t>
        </w:r>
      </w:hyperlink>
      <w:r w:rsidR="001A0718">
        <w:t xml:space="preserve"> </w:t>
      </w:r>
      <w:r w:rsidR="4743DC58">
        <w:t xml:space="preserve">of a </w:t>
      </w:r>
      <w:r w:rsidR="5BB0C322">
        <w:t>function</w:t>
      </w:r>
      <w:r w:rsidR="64B9C512">
        <w:t xml:space="preserve">. </w:t>
      </w:r>
    </w:p>
    <w:p w14:paraId="703836BB" w14:textId="6E07C63D" w:rsidR="008A0A5F" w:rsidRDefault="4201A1A0" w:rsidP="00171D6C">
      <w:pPr>
        <w:pStyle w:val="CETBodytext"/>
      </w:pPr>
      <w:r>
        <w:t>The mathematical approach of the problem is quite general</w:t>
      </w:r>
      <w:r w:rsidR="2F140D15">
        <w:t xml:space="preserve">, </w:t>
      </w:r>
      <w:r w:rsidR="24F0F4FD">
        <w:t xml:space="preserve">therefore the same approach can be extended to solve </w:t>
      </w:r>
      <w:r w:rsidR="005F73DA">
        <w:t>distinct types</w:t>
      </w:r>
      <w:r w:rsidR="24F0F4FD">
        <w:t xml:space="preserve"> of </w:t>
      </w:r>
      <w:r w:rsidR="31E180D3">
        <w:t xml:space="preserve">minimization </w:t>
      </w:r>
      <w:r w:rsidR="24F0F4FD">
        <w:t>problems</w:t>
      </w:r>
      <w:r w:rsidR="0FF5B5DA">
        <w:t xml:space="preserve">, </w:t>
      </w:r>
      <w:r w:rsidR="5B092BE6">
        <w:t xml:space="preserve">such as </w:t>
      </w:r>
      <w:r w:rsidR="24F0F4FD">
        <w:t>the operating costs of the plant</w:t>
      </w:r>
      <w:r w:rsidR="550BB2ED">
        <w:t xml:space="preserve"> (even if such functionality is presently not available in KT DPM)</w:t>
      </w:r>
      <w:r w:rsidR="16D6A5D3">
        <w:t>.</w:t>
      </w:r>
    </w:p>
    <w:p w14:paraId="55E04FC7" w14:textId="105EDB2E" w:rsidR="00693158" w:rsidRPr="00FF1D65" w:rsidRDefault="008A0A5F" w:rsidP="00BE4742">
      <w:pPr>
        <w:pStyle w:val="BodyText"/>
        <w:rPr>
          <w:lang w:val="en-US"/>
        </w:rPr>
      </w:pPr>
      <w:r>
        <w:t xml:space="preserve">The numerical solver is independent from </w:t>
      </w:r>
      <w:r w:rsidR="0040674F">
        <w:t xml:space="preserve">the </w:t>
      </w:r>
      <w:r w:rsidR="00174826">
        <w:t>simulation engine used, meaning that the tool can be eventually used for the reconciliation of the</w:t>
      </w:r>
      <w:r w:rsidR="008F14E7">
        <w:t xml:space="preserve"> </w:t>
      </w:r>
      <w:r w:rsidR="00991907">
        <w:t xml:space="preserve">processes </w:t>
      </w:r>
      <w:r w:rsidR="1F6BBB54">
        <w:t xml:space="preserve">even </w:t>
      </w:r>
      <w:r w:rsidR="00991907">
        <w:t>different from KT licensed units</w:t>
      </w:r>
      <w:r w:rsidR="00706DCF">
        <w:t xml:space="preserve">. </w:t>
      </w:r>
    </w:p>
    <w:p w14:paraId="32E605CD" w14:textId="6E020585" w:rsidR="000063FD" w:rsidRDefault="000063FD" w:rsidP="000532A5">
      <w:pPr>
        <w:pStyle w:val="CETHeading1"/>
      </w:pPr>
      <w:r>
        <w:t>Expected benefits for Plant Owner</w:t>
      </w:r>
    </w:p>
    <w:p w14:paraId="5E9AC2E4" w14:textId="59EE8FD2" w:rsidR="000532A5" w:rsidRPr="000532A5" w:rsidRDefault="000532A5" w:rsidP="00986B2C">
      <w:pPr>
        <w:pStyle w:val="CETheadingx"/>
      </w:pPr>
      <w:r>
        <w:t xml:space="preserve">Reliability </w:t>
      </w:r>
      <w:r w:rsidR="007C612D">
        <w:t xml:space="preserve">and Operational </w:t>
      </w:r>
      <w:r w:rsidR="00AF5A9F">
        <w:t>improvements</w:t>
      </w:r>
    </w:p>
    <w:p w14:paraId="676F9B5E" w14:textId="057D39E6" w:rsidR="00814B7D" w:rsidRDefault="00774F5D" w:rsidP="007C41BB">
      <w:pPr>
        <w:pStyle w:val="CETBodytext"/>
      </w:pPr>
      <w:r>
        <w:t xml:space="preserve">Using </w:t>
      </w:r>
      <w:r w:rsidR="005F73DA">
        <w:t>the DPM</w:t>
      </w:r>
      <w:r w:rsidR="007C41BB">
        <w:t xml:space="preserve"> </w:t>
      </w:r>
      <w:r w:rsidR="00E26211">
        <w:t>unlocks</w:t>
      </w:r>
      <w:r w:rsidR="00C60FB6">
        <w:t xml:space="preserve"> several advantages </w:t>
      </w:r>
      <w:r w:rsidR="00DD5F48">
        <w:t xml:space="preserve">as far </w:t>
      </w:r>
      <w:r w:rsidR="00F50C60">
        <w:t xml:space="preserve">reliability and </w:t>
      </w:r>
      <w:r w:rsidR="00AF5A9F">
        <w:t xml:space="preserve">improved </w:t>
      </w:r>
      <w:r w:rsidR="00DD5F48">
        <w:t xml:space="preserve">plant </w:t>
      </w:r>
      <w:r w:rsidR="00F50C60">
        <w:t>oper</w:t>
      </w:r>
      <w:r w:rsidR="007B5124">
        <w:t xml:space="preserve">ation </w:t>
      </w:r>
      <w:r w:rsidR="00DD5F48">
        <w:t>are concerned</w:t>
      </w:r>
      <w:r w:rsidR="00F00022">
        <w:t>.</w:t>
      </w:r>
    </w:p>
    <w:p w14:paraId="6D914BB7" w14:textId="617FF1CC" w:rsidR="007C41BB" w:rsidRDefault="00D30B59" w:rsidP="00E701FC">
      <w:pPr>
        <w:pStyle w:val="CETBodytext"/>
      </w:pPr>
      <w:r>
        <w:t>Continuous monitoring gives a</w:t>
      </w:r>
      <w:r w:rsidR="004308CF">
        <w:t>n improved overview o</w:t>
      </w:r>
      <w:r w:rsidR="00774F5D">
        <w:t>f</w:t>
      </w:r>
      <w:r w:rsidR="004308CF">
        <w:t xml:space="preserve"> several </w:t>
      </w:r>
      <w:r w:rsidR="005F6627">
        <w:t>features</w:t>
      </w:r>
      <w:r w:rsidR="00414ECB">
        <w:t xml:space="preserve"> for HPU and SRU plants</w:t>
      </w:r>
      <w:r w:rsidR="004308CF">
        <w:t>, s</w:t>
      </w:r>
      <w:r w:rsidR="003F756A">
        <w:t xml:space="preserve">ome of </w:t>
      </w:r>
      <w:r w:rsidR="004308CF">
        <w:t xml:space="preserve">which are </w:t>
      </w:r>
      <w:r w:rsidR="00F23762">
        <w:t>listed</w:t>
      </w:r>
      <w:r w:rsidR="004308CF">
        <w:t xml:space="preserve"> below:</w:t>
      </w:r>
    </w:p>
    <w:p w14:paraId="02FA376B" w14:textId="7F624644" w:rsidR="0071136E" w:rsidRPr="0071136E" w:rsidRDefault="0071136E" w:rsidP="00E701FC">
      <w:pPr>
        <w:pStyle w:val="CETnumberingbullets"/>
        <w:jc w:val="both"/>
      </w:pPr>
      <w:r w:rsidRPr="0071136E">
        <w:t>critical transient events</w:t>
      </w:r>
      <w:r w:rsidR="005F73DA">
        <w:t>;</w:t>
      </w:r>
    </w:p>
    <w:p w14:paraId="5320BBE4" w14:textId="782E8880" w:rsidR="0071136E" w:rsidRDefault="0071136E" w:rsidP="00E701FC">
      <w:pPr>
        <w:pStyle w:val="CETnumberingbullets"/>
        <w:jc w:val="both"/>
      </w:pPr>
      <w:r w:rsidRPr="0071136E">
        <w:t>combustion anomalies</w:t>
      </w:r>
      <w:r w:rsidR="005F73DA">
        <w:t>;</w:t>
      </w:r>
    </w:p>
    <w:p w14:paraId="09F8EE45" w14:textId="2C3782A0" w:rsidR="00FE1796" w:rsidRPr="0071136E" w:rsidRDefault="00FE1796" w:rsidP="00E701FC">
      <w:pPr>
        <w:pStyle w:val="CETnumberingbullets"/>
        <w:jc w:val="both"/>
      </w:pPr>
      <w:r>
        <w:t>hydraulic profile</w:t>
      </w:r>
      <w:r w:rsidR="005F73DA">
        <w:t>;</w:t>
      </w:r>
    </w:p>
    <w:p w14:paraId="4969C5DF" w14:textId="6215AB27" w:rsidR="00577DC0" w:rsidRDefault="000B7E2D" w:rsidP="00577DC0">
      <w:pPr>
        <w:pStyle w:val="CETnumberingbullets"/>
      </w:pPr>
      <w:r>
        <w:t>s</w:t>
      </w:r>
      <w:r w:rsidR="00577DC0" w:rsidRPr="00577DC0">
        <w:t xml:space="preserve">oft sensors that </w:t>
      </w:r>
      <w:r>
        <w:t>represent</w:t>
      </w:r>
      <w:r w:rsidR="00577DC0" w:rsidRPr="00577DC0">
        <w:t xml:space="preserve"> unmeasured values</w:t>
      </w:r>
      <w:r>
        <w:t>.</w:t>
      </w:r>
    </w:p>
    <w:p w14:paraId="35A71D83" w14:textId="269DD0C9" w:rsidR="00090804" w:rsidRDefault="0071136E" w:rsidP="00012C8F">
      <w:pPr>
        <w:pStyle w:val="CETBodytext"/>
      </w:pPr>
      <w:r w:rsidRPr="0071136E">
        <w:t>For HPU, the DPM can additionally provide:</w:t>
      </w:r>
      <w:r w:rsidR="00012C8F">
        <w:t xml:space="preserve"> </w:t>
      </w:r>
      <w:r w:rsidRPr="0071136E">
        <w:t>the indications for optimizing the operating parameters related to multi-feedstocks (i.e. S/C, H</w:t>
      </w:r>
      <w:r w:rsidRPr="005F73DA">
        <w:rPr>
          <w:vertAlign w:val="subscript"/>
        </w:rPr>
        <w:t>2</w:t>
      </w:r>
      <w:r w:rsidRPr="0071136E">
        <w:t>/FEED) for every mixture of feedstocks, even for cases not defined by available heat and material balances.</w:t>
      </w:r>
    </w:p>
    <w:p w14:paraId="01E6DF0E" w14:textId="1A54C961" w:rsidR="007324F8" w:rsidRDefault="002873B2" w:rsidP="007324F8">
      <w:pPr>
        <w:pStyle w:val="CETBodytext"/>
      </w:pPr>
      <w:r>
        <w:t>Short term benefits:</w:t>
      </w:r>
    </w:p>
    <w:p w14:paraId="3DFBF3F8" w14:textId="283C9D07" w:rsidR="007130B6" w:rsidRDefault="00AE2C9B" w:rsidP="00E701FC">
      <w:pPr>
        <w:pStyle w:val="CETnumberingbullets"/>
        <w:jc w:val="both"/>
      </w:pPr>
      <w:r>
        <w:t xml:space="preserve">the </w:t>
      </w:r>
      <w:r w:rsidR="005A6A90">
        <w:t xml:space="preserve">identification and </w:t>
      </w:r>
      <w:r>
        <w:t>analys</w:t>
      </w:r>
      <w:r w:rsidR="0016340D">
        <w:t>i</w:t>
      </w:r>
      <w:r>
        <w:t xml:space="preserve">s of </w:t>
      </w:r>
      <w:r w:rsidRPr="0071136E">
        <w:t>critical transient events</w:t>
      </w:r>
      <w:r>
        <w:t xml:space="preserve"> can lead </w:t>
      </w:r>
      <w:r w:rsidR="0016340D">
        <w:t xml:space="preserve">to an increased </w:t>
      </w:r>
      <w:r w:rsidR="005A6A90">
        <w:t xml:space="preserve">reliability of operation, avoiding long </w:t>
      </w:r>
      <w:r w:rsidR="007130B6">
        <w:t xml:space="preserve">operating </w:t>
      </w:r>
      <w:r w:rsidR="00050F64">
        <w:t xml:space="preserve">transitions </w:t>
      </w:r>
      <w:r w:rsidR="007130B6">
        <w:t xml:space="preserve">which often lead to </w:t>
      </w:r>
      <w:r w:rsidR="00050F64">
        <w:t>an off</w:t>
      </w:r>
      <w:r w:rsidR="00DC3BB3">
        <w:t>-</w:t>
      </w:r>
      <w:r w:rsidR="00050F64">
        <w:t>spec product</w:t>
      </w:r>
      <w:r w:rsidR="00AE66D1">
        <w:t>s</w:t>
      </w:r>
      <w:r w:rsidR="00050F64">
        <w:t xml:space="preserve"> or a</w:t>
      </w:r>
      <w:r w:rsidR="00DC3BB3">
        <w:t xml:space="preserve"> </w:t>
      </w:r>
      <w:r w:rsidR="004B4612">
        <w:t xml:space="preserve">significant </w:t>
      </w:r>
      <w:r w:rsidR="007130B6">
        <w:t>environmental impact</w:t>
      </w:r>
      <w:r w:rsidR="00DE4EBB">
        <w:t>;</w:t>
      </w:r>
    </w:p>
    <w:p w14:paraId="60AF4645" w14:textId="5BDEAC15" w:rsidR="00AE2C9B" w:rsidRPr="0071136E" w:rsidRDefault="00380409" w:rsidP="00E701FC">
      <w:pPr>
        <w:pStyle w:val="CETnumberingbullets"/>
        <w:jc w:val="both"/>
      </w:pPr>
      <w:r>
        <w:t>t</w:t>
      </w:r>
      <w:r w:rsidR="007130B6">
        <w:t xml:space="preserve">he monitoring of </w:t>
      </w:r>
      <w:r>
        <w:t xml:space="preserve">combustion anomalies </w:t>
      </w:r>
      <w:r w:rsidR="0098451A">
        <w:t xml:space="preserve">can </w:t>
      </w:r>
      <w:r w:rsidR="00400074">
        <w:t>maximize</w:t>
      </w:r>
      <w:r>
        <w:t xml:space="preserve"> the prevention of </w:t>
      </w:r>
      <w:r w:rsidR="00400074">
        <w:t xml:space="preserve">undesired </w:t>
      </w:r>
      <w:r w:rsidR="002253C5">
        <w:t xml:space="preserve">breach of </w:t>
      </w:r>
      <w:r w:rsidR="00400074">
        <w:t>emission limits</w:t>
      </w:r>
      <w:r w:rsidR="003A3041">
        <w:t>;</w:t>
      </w:r>
    </w:p>
    <w:p w14:paraId="3959397D" w14:textId="7D697616" w:rsidR="00577DC0" w:rsidRPr="0071136E" w:rsidRDefault="005F73DA" w:rsidP="00BA727B">
      <w:pPr>
        <w:pStyle w:val="CETnumberingbullets"/>
        <w:jc w:val="both"/>
      </w:pPr>
      <w:r>
        <w:t>g</w:t>
      </w:r>
      <w:r w:rsidR="002873B2">
        <w:t xml:space="preserve">uidance </w:t>
      </w:r>
      <w:r>
        <w:t>for recalibrating</w:t>
      </w:r>
      <w:r w:rsidR="1D8799B8">
        <w:t xml:space="preserve"> field instruments when required by the DPM outcomes</w:t>
      </w:r>
      <w:r w:rsidR="0AC92596">
        <w:t xml:space="preserve"> </w:t>
      </w:r>
      <w:r w:rsidR="00BA727B">
        <w:t>can</w:t>
      </w:r>
      <w:r w:rsidR="0AC92596">
        <w:t xml:space="preserve"> improv</w:t>
      </w:r>
      <w:r w:rsidR="3FC2D0BE">
        <w:t>e the overall plant reliability</w:t>
      </w:r>
      <w:r w:rsidR="1D8799B8">
        <w:t>.</w:t>
      </w:r>
    </w:p>
    <w:p w14:paraId="7A89EDE2" w14:textId="41BE40AA" w:rsidR="009F6C3F" w:rsidRDefault="002873B2" w:rsidP="00297758">
      <w:pPr>
        <w:pStyle w:val="CETBodytext"/>
      </w:pPr>
      <w:r>
        <w:t xml:space="preserve">Long term benefits: </w:t>
      </w:r>
    </w:p>
    <w:p w14:paraId="25494E32" w14:textId="5980E3C4" w:rsidR="00DD40AC" w:rsidRDefault="001E66BB" w:rsidP="0044103F">
      <w:pPr>
        <w:pStyle w:val="CETnumberingbullets"/>
        <w:jc w:val="both"/>
      </w:pPr>
      <w:r>
        <w:t>monitoring of the catalyst behavio</w:t>
      </w:r>
      <w:r w:rsidR="00233F4E">
        <w:t>u</w:t>
      </w:r>
      <w:r>
        <w:t xml:space="preserve">r </w:t>
      </w:r>
      <w:r w:rsidR="0006012D">
        <w:t>helps reach</w:t>
      </w:r>
      <w:r w:rsidR="00ED0167">
        <w:t xml:space="preserve"> </w:t>
      </w:r>
      <w:r w:rsidR="00A21EE7">
        <w:t>an optimized</w:t>
      </w:r>
      <w:r>
        <w:t xml:space="preserve"> </w:t>
      </w:r>
      <w:r w:rsidR="00A21EE7">
        <w:t>catalyst operation</w:t>
      </w:r>
      <w:r>
        <w:t xml:space="preserve">, leading to </w:t>
      </w:r>
      <w:r w:rsidR="0006012D">
        <w:t>improved</w:t>
      </w:r>
      <w:r>
        <w:t xml:space="preserve"> performanc</w:t>
      </w:r>
      <w:r w:rsidR="00F25B5A">
        <w:t>e and</w:t>
      </w:r>
      <w:r>
        <w:t xml:space="preserve"> lower polluting emissions</w:t>
      </w:r>
      <w:r w:rsidR="0044103F">
        <w:t>;</w:t>
      </w:r>
      <w:r w:rsidR="005F73DA" w:rsidRPr="005F73DA">
        <w:t xml:space="preserve"> </w:t>
      </w:r>
      <w:r w:rsidR="0044103F">
        <w:t>i</w:t>
      </w:r>
      <w:r w:rsidR="005F73DA" w:rsidRPr="005F73DA">
        <w:t>n addition, O</w:t>
      </w:r>
      <w:r w:rsidR="0044103F">
        <w:t>PEX</w:t>
      </w:r>
      <w:r w:rsidR="005F73DA" w:rsidRPr="005F73DA">
        <w:t xml:space="preserve"> are reduced, as poisoning and catalyst ageing events can be detected early, extending catalyst life as much as possible</w:t>
      </w:r>
      <w:r w:rsidR="008D2CCD">
        <w:t xml:space="preserve">. </w:t>
      </w:r>
    </w:p>
    <w:p w14:paraId="29343F2A" w14:textId="02A82B50" w:rsidR="008D2CCD" w:rsidRDefault="0051549C" w:rsidP="0044103F">
      <w:pPr>
        <w:pStyle w:val="CETnumberingbullets"/>
        <w:jc w:val="both"/>
      </w:pPr>
      <w:r>
        <w:t>m</w:t>
      </w:r>
      <w:r w:rsidR="00C434D6">
        <w:t>onitoring of h</w:t>
      </w:r>
      <w:r w:rsidR="00F6063C">
        <w:t xml:space="preserve">ydraulic </w:t>
      </w:r>
      <w:r w:rsidR="00C434D6">
        <w:t>p</w:t>
      </w:r>
      <w:r w:rsidR="00F6063C">
        <w:t xml:space="preserve">rofile can </w:t>
      </w:r>
      <w:r w:rsidR="003F1BFE">
        <w:t>give a</w:t>
      </w:r>
      <w:r w:rsidR="00FD19DE">
        <w:t>n</w:t>
      </w:r>
      <w:r w:rsidR="003F1BFE">
        <w:t xml:space="preserve"> </w:t>
      </w:r>
      <w:r w:rsidR="002B3FE6">
        <w:t>early diagnosis</w:t>
      </w:r>
      <w:r w:rsidR="003F1BFE">
        <w:t xml:space="preserve"> on any </w:t>
      </w:r>
      <w:r w:rsidR="00F1196E">
        <w:t xml:space="preserve">fouling or </w:t>
      </w:r>
      <w:r w:rsidR="00FD2374">
        <w:t xml:space="preserve">soot deposition </w:t>
      </w:r>
      <w:r w:rsidR="002B3FE6">
        <w:t xml:space="preserve">happening in the plant, </w:t>
      </w:r>
      <w:r w:rsidR="00BA2A4D">
        <w:t xml:space="preserve">thus helping </w:t>
      </w:r>
      <w:r w:rsidR="002873B2">
        <w:t xml:space="preserve">prevent </w:t>
      </w:r>
      <w:r w:rsidR="00BA2A4D">
        <w:t>plant operation disruption due to high pressure losses</w:t>
      </w:r>
      <w:r w:rsidR="00C80555">
        <w:t xml:space="preserve"> or allowing a more optimized planning of turnarounds</w:t>
      </w:r>
      <w:r>
        <w:t>.</w:t>
      </w:r>
    </w:p>
    <w:p w14:paraId="3120F1BB" w14:textId="098D3D32" w:rsidR="00320B19" w:rsidRDefault="0044103F" w:rsidP="00986B2C">
      <w:pPr>
        <w:pStyle w:val="CETheadingx"/>
      </w:pPr>
      <w:r>
        <w:t>OPEX</w:t>
      </w:r>
      <w:r w:rsidR="00320B19">
        <w:t xml:space="preserve"> </w:t>
      </w:r>
      <w:r w:rsidR="002C70CE">
        <w:t>s</w:t>
      </w:r>
      <w:r w:rsidR="00320B19">
        <w:t xml:space="preserve">aving </w:t>
      </w:r>
      <w:r w:rsidR="005F73DA">
        <w:t>estimation</w:t>
      </w:r>
    </w:p>
    <w:p w14:paraId="44372019" w14:textId="3B55A43D" w:rsidR="00320B19" w:rsidRDefault="004B1D4C" w:rsidP="00320B19">
      <w:pPr>
        <w:pStyle w:val="CETBodytext"/>
      </w:pPr>
      <w:r>
        <w:t xml:space="preserve">The introduction of DPM leads to </w:t>
      </w:r>
      <w:r w:rsidR="0044103F">
        <w:t>OPEX</w:t>
      </w:r>
      <w:r w:rsidR="002873B2">
        <w:t xml:space="preserve"> savings in several ways. </w:t>
      </w:r>
      <w:r w:rsidR="002217FA">
        <w:t xml:space="preserve">A case study has been conducted on both </w:t>
      </w:r>
      <w:r w:rsidR="00612069">
        <w:t xml:space="preserve">HPU </w:t>
      </w:r>
      <w:r w:rsidR="00244F93">
        <w:t xml:space="preserve">and </w:t>
      </w:r>
      <w:r w:rsidR="00612069">
        <w:t xml:space="preserve">SRU </w:t>
      </w:r>
      <w:r w:rsidR="000C5A12">
        <w:t>technologies licensed by KT</w:t>
      </w:r>
      <w:r w:rsidR="0023097F">
        <w:t>.</w:t>
      </w:r>
    </w:p>
    <w:p w14:paraId="2651DEAB" w14:textId="40D53BFC" w:rsidR="008B671B" w:rsidRDefault="005F2D3A" w:rsidP="00320B19">
      <w:pPr>
        <w:pStyle w:val="CETBodytext"/>
      </w:pPr>
      <w:r>
        <w:t>A case study has been conducted for</w:t>
      </w:r>
      <w:r w:rsidR="00C76780">
        <w:t xml:space="preserve"> a </w:t>
      </w:r>
      <w:r>
        <w:t xml:space="preserve">HPU of </w:t>
      </w:r>
      <w:r w:rsidR="00C76780">
        <w:t>70</w:t>
      </w:r>
      <w:r w:rsidR="00986B2C">
        <w:t>,</w:t>
      </w:r>
      <w:r w:rsidR="00C76780">
        <w:t>000Nm</w:t>
      </w:r>
      <w:r w:rsidR="00C76780" w:rsidRPr="00CF60A4">
        <w:rPr>
          <w:vertAlign w:val="superscript"/>
        </w:rPr>
        <w:t>3</w:t>
      </w:r>
      <w:r w:rsidR="00C76780">
        <w:t>H</w:t>
      </w:r>
      <w:r w:rsidR="00C76780">
        <w:rPr>
          <w:vertAlign w:val="subscript"/>
        </w:rPr>
        <w:t>2</w:t>
      </w:r>
      <w:r w:rsidR="00C76780">
        <w:t>/h production plant</w:t>
      </w:r>
      <w:r w:rsidR="008F3904">
        <w:t xml:space="preserve"> located in Europe</w:t>
      </w:r>
      <w:r w:rsidR="00AE600D">
        <w:t xml:space="preserve">. </w:t>
      </w:r>
    </w:p>
    <w:p w14:paraId="02F29CDB" w14:textId="096EA818" w:rsidR="00A504DD" w:rsidRDefault="00C00B7C" w:rsidP="00320B19">
      <w:pPr>
        <w:pStyle w:val="CETBodytext"/>
      </w:pPr>
      <w:r>
        <w:t>The utility cost</w:t>
      </w:r>
      <w:r w:rsidR="008B671B">
        <w:t>s</w:t>
      </w:r>
      <w:r>
        <w:t xml:space="preserve"> used </w:t>
      </w:r>
      <w:r w:rsidR="0099490C">
        <w:t xml:space="preserve">in the case study </w:t>
      </w:r>
      <w:r>
        <w:t xml:space="preserve">are summarized in </w:t>
      </w:r>
      <w:r w:rsidR="00067647">
        <w:fldChar w:fldCharType="begin"/>
      </w:r>
      <w:r w:rsidR="00067647">
        <w:instrText xml:space="preserve"> REF _Ref131701032 \h </w:instrText>
      </w:r>
      <w:r w:rsidR="00067647">
        <w:fldChar w:fldCharType="separate"/>
      </w:r>
      <w:r w:rsidR="00067647">
        <w:t xml:space="preserve">Table </w:t>
      </w:r>
      <w:r w:rsidR="00067647">
        <w:rPr>
          <w:noProof/>
        </w:rPr>
        <w:t>1</w:t>
      </w:r>
      <w:r w:rsidR="00067647">
        <w:fldChar w:fldCharType="end"/>
      </w:r>
      <w:r w:rsidR="00067647">
        <w:t>.</w:t>
      </w:r>
    </w:p>
    <w:p w14:paraId="29629711" w14:textId="3AA3F7E6" w:rsidR="00E148AF" w:rsidRPr="00C36D11" w:rsidRDefault="00E148AF" w:rsidP="00482103">
      <w:pPr>
        <w:pStyle w:val="CETTabletitle"/>
        <w:spacing w:before="80"/>
      </w:pPr>
      <w:bookmarkStart w:id="0" w:name="_Ref131701032"/>
      <w:r w:rsidRPr="00C36D11">
        <w:t xml:space="preserve">Table </w:t>
      </w:r>
      <w:r w:rsidRPr="00C36D11">
        <w:fldChar w:fldCharType="begin"/>
      </w:r>
      <w:r w:rsidRPr="00C36D11">
        <w:instrText xml:space="preserve"> SEQ Table \* ARABIC </w:instrText>
      </w:r>
      <w:r w:rsidRPr="00C36D11">
        <w:fldChar w:fldCharType="separate"/>
      </w:r>
      <w:r w:rsidR="00925169" w:rsidRPr="00C36D11">
        <w:t>1</w:t>
      </w:r>
      <w:r w:rsidRPr="00C36D11">
        <w:fldChar w:fldCharType="end"/>
      </w:r>
      <w:bookmarkEnd w:id="0"/>
      <w:r w:rsidR="005A4211" w:rsidRPr="00C36D11">
        <w:t xml:space="preserve">: </w:t>
      </w:r>
      <w:r w:rsidR="00DA08FE" w:rsidRPr="00C36D11">
        <w:t xml:space="preserve">Utility </w:t>
      </w:r>
      <w:r w:rsidR="00067647" w:rsidRPr="00C36D11">
        <w:t xml:space="preserve">costs </w:t>
      </w:r>
      <w:r w:rsidR="00DA08FE" w:rsidRPr="00C36D11">
        <w:t xml:space="preserve">for European area, </w:t>
      </w:r>
      <w:r w:rsidR="00067647" w:rsidRPr="00C36D11">
        <w:t xml:space="preserve">HPU </w:t>
      </w:r>
      <w:r w:rsidR="00DA08FE" w:rsidRPr="00C36D11">
        <w:t>c</w:t>
      </w:r>
      <w:r w:rsidR="00067647" w:rsidRPr="00C36D11">
        <w:t xml:space="preserve">ase </w:t>
      </w:r>
      <w:r w:rsidR="00DA08FE" w:rsidRPr="00C36D11">
        <w:t>s</w:t>
      </w:r>
      <w:r w:rsidR="00067647" w:rsidRPr="00C36D11">
        <w:t>tudy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0"/>
        <w:gridCol w:w="1080"/>
        <w:gridCol w:w="792"/>
      </w:tblGrid>
      <w:tr w:rsidR="00E148AF" w:rsidRPr="00C36D11" w14:paraId="2B11BB3F" w14:textId="77777777" w:rsidTr="00E148AF">
        <w:tc>
          <w:tcPr>
            <w:tcW w:w="153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80A2580" w14:textId="330A9850" w:rsidR="00E148AF" w:rsidRPr="00C36D11" w:rsidRDefault="00244F93" w:rsidP="00483934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Utility</w:t>
            </w:r>
          </w:p>
        </w:tc>
        <w:tc>
          <w:tcPr>
            <w:tcW w:w="108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84D937E" w14:textId="1589828C" w:rsidR="00E148AF" w:rsidRPr="00C36D11" w:rsidRDefault="00E148AF" w:rsidP="00483934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Price</w:t>
            </w:r>
          </w:p>
        </w:tc>
        <w:tc>
          <w:tcPr>
            <w:tcW w:w="79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3200324" w14:textId="38C28336" w:rsidR="00E148AF" w:rsidRPr="00C36D11" w:rsidRDefault="00E148AF" w:rsidP="00483934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Unit</w:t>
            </w:r>
          </w:p>
        </w:tc>
      </w:tr>
      <w:tr w:rsidR="00E148AF" w:rsidRPr="00C36D11" w14:paraId="332BDB53" w14:textId="77777777" w:rsidTr="00483934">
        <w:tc>
          <w:tcPr>
            <w:tcW w:w="1530" w:type="dxa"/>
            <w:shd w:val="clear" w:color="auto" w:fill="FFFFFF"/>
            <w:vAlign w:val="center"/>
          </w:tcPr>
          <w:p w14:paraId="624938D3" w14:textId="612A1543" w:rsidR="00E148AF" w:rsidRPr="00C36D11" w:rsidRDefault="00E148AF" w:rsidP="00E148AF">
            <w:pPr>
              <w:pStyle w:val="CETBodytext"/>
              <w:rPr>
                <w:lang w:val="en-GB"/>
              </w:rPr>
            </w:pPr>
            <w:r w:rsidRPr="00C36D11">
              <w:t>Natural gas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E15E7CC" w14:textId="07EF7261" w:rsidR="00E148AF" w:rsidRPr="00C36D11" w:rsidRDefault="00E148AF" w:rsidP="00E148AF">
            <w:pPr>
              <w:pStyle w:val="CETBodytext"/>
              <w:rPr>
                <w:lang w:val="en-GB"/>
              </w:rPr>
            </w:pPr>
            <w:r w:rsidRPr="00C36D11">
              <w:t>0.397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196A3B3A" w14:textId="72561779" w:rsidR="00E148AF" w:rsidRPr="00C36D11" w:rsidRDefault="00F60F57" w:rsidP="00E148AF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€</w:t>
            </w:r>
            <w:r w:rsidR="00E148AF" w:rsidRPr="00C36D11">
              <w:t>/kg</w:t>
            </w:r>
          </w:p>
        </w:tc>
      </w:tr>
      <w:tr w:rsidR="00E148AF" w:rsidRPr="00C36D11" w14:paraId="314C5DF8" w14:textId="77777777" w:rsidTr="00483934">
        <w:tc>
          <w:tcPr>
            <w:tcW w:w="1530" w:type="dxa"/>
            <w:shd w:val="clear" w:color="auto" w:fill="FFFFFF"/>
            <w:vAlign w:val="bottom"/>
          </w:tcPr>
          <w:p w14:paraId="2E21116E" w14:textId="267EA639" w:rsidR="00E148AF" w:rsidRPr="00C36D11" w:rsidRDefault="00E148AF" w:rsidP="00E148AF">
            <w:pPr>
              <w:pStyle w:val="CETBodytext"/>
              <w:rPr>
                <w:lang w:val="en-GB"/>
              </w:rPr>
            </w:pPr>
            <w:r w:rsidRPr="00C36D11">
              <w:t>Make up fuel gas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5A67DB4" w14:textId="0803A478" w:rsidR="00E148AF" w:rsidRPr="00C36D11" w:rsidRDefault="00E148AF" w:rsidP="00E148AF">
            <w:pPr>
              <w:pStyle w:val="CETBodytext"/>
              <w:rPr>
                <w:lang w:val="en-GB"/>
              </w:rPr>
            </w:pPr>
            <w:r w:rsidRPr="00C36D11">
              <w:t>0.18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1F314CF1" w14:textId="5C6089B7" w:rsidR="00E148AF" w:rsidRPr="00C36D11" w:rsidRDefault="00F60F57" w:rsidP="00E148AF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€</w:t>
            </w:r>
            <w:r w:rsidR="00E148AF" w:rsidRPr="00C36D11">
              <w:t>/kg</w:t>
            </w:r>
          </w:p>
        </w:tc>
      </w:tr>
      <w:tr w:rsidR="00E148AF" w:rsidRPr="00C36D11" w14:paraId="74B4492A" w14:textId="77777777" w:rsidTr="00483934">
        <w:tc>
          <w:tcPr>
            <w:tcW w:w="1530" w:type="dxa"/>
            <w:shd w:val="clear" w:color="auto" w:fill="FFFFFF"/>
            <w:vAlign w:val="center"/>
          </w:tcPr>
          <w:p w14:paraId="3489C98F" w14:textId="3318C94C" w:rsidR="00E148AF" w:rsidRPr="00C36D11" w:rsidRDefault="00E148AF" w:rsidP="00E148AF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B</w:t>
            </w:r>
            <w:r w:rsidR="00F60F57" w:rsidRPr="00C36D11">
              <w:t>oiler feed water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5063497" w14:textId="0EC95009" w:rsidR="00E148AF" w:rsidRPr="004E5C71" w:rsidRDefault="00E148AF" w:rsidP="00E148AF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4E5C71">
              <w:t>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7A1C3CD3" w14:textId="78DDE5A3" w:rsidR="00E148AF" w:rsidRPr="00C36D11" w:rsidRDefault="00F60F57" w:rsidP="00E148AF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€</w:t>
            </w:r>
            <w:r w:rsidR="00E148AF" w:rsidRPr="00C36D11">
              <w:t>/t</w:t>
            </w:r>
          </w:p>
        </w:tc>
      </w:tr>
      <w:tr w:rsidR="00E148AF" w:rsidRPr="00C36D11" w14:paraId="34A83BF9" w14:textId="77777777" w:rsidTr="00483934">
        <w:tc>
          <w:tcPr>
            <w:tcW w:w="1530" w:type="dxa"/>
            <w:shd w:val="clear" w:color="auto" w:fill="FFFFFF"/>
            <w:vAlign w:val="center"/>
          </w:tcPr>
          <w:p w14:paraId="506E0F23" w14:textId="6A349138" w:rsidR="00E148AF" w:rsidRPr="00C36D11" w:rsidRDefault="00F60F57" w:rsidP="00E148AF">
            <w:pPr>
              <w:pStyle w:val="CETBodytext"/>
              <w:ind w:right="-1"/>
            </w:pPr>
            <w:r w:rsidRPr="00C36D11">
              <w:t>C</w:t>
            </w:r>
            <w:r w:rsidR="00E148AF" w:rsidRPr="00C36D11">
              <w:t>ooling water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9479D17" w14:textId="5C1024D6" w:rsidR="00E148AF" w:rsidRPr="004E5C71" w:rsidRDefault="00E148AF" w:rsidP="00E148AF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4E5C71">
              <w:t>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3B6239FF" w14:textId="58F8D43D" w:rsidR="00E148AF" w:rsidRPr="00C36D11" w:rsidRDefault="00F60F57" w:rsidP="00E148AF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€</w:t>
            </w:r>
            <w:r w:rsidR="00E148AF" w:rsidRPr="00C36D11">
              <w:t>/t</w:t>
            </w:r>
          </w:p>
        </w:tc>
      </w:tr>
      <w:tr w:rsidR="00E148AF" w:rsidRPr="00C36D11" w14:paraId="3D78DF5D" w14:textId="77777777" w:rsidTr="00483934">
        <w:tc>
          <w:tcPr>
            <w:tcW w:w="1530" w:type="dxa"/>
            <w:shd w:val="clear" w:color="auto" w:fill="FFFFFF"/>
            <w:vAlign w:val="bottom"/>
          </w:tcPr>
          <w:p w14:paraId="4A89120A" w14:textId="5721223D" w:rsidR="00E148AF" w:rsidRPr="00C36D11" w:rsidRDefault="00E148AF" w:rsidP="00E148AF">
            <w:pPr>
              <w:pStyle w:val="CETBodytext"/>
              <w:ind w:right="-1"/>
            </w:pPr>
            <w:r w:rsidRPr="00C36D11">
              <w:t>LP steam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785D3D1" w14:textId="72620F17" w:rsidR="00E148AF" w:rsidRPr="00C36D11" w:rsidRDefault="00E148AF" w:rsidP="00E148AF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0.012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341BA5A9" w14:textId="016E943C" w:rsidR="00E148AF" w:rsidRPr="00C36D11" w:rsidRDefault="00F60F57" w:rsidP="00E148AF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€</w:t>
            </w:r>
            <w:r w:rsidR="00E148AF" w:rsidRPr="00C36D11">
              <w:t>/kg</w:t>
            </w:r>
          </w:p>
        </w:tc>
      </w:tr>
      <w:tr w:rsidR="00E148AF" w:rsidRPr="00C36D11" w14:paraId="72F17E7D" w14:textId="77777777" w:rsidTr="00483934">
        <w:tc>
          <w:tcPr>
            <w:tcW w:w="1530" w:type="dxa"/>
            <w:shd w:val="clear" w:color="auto" w:fill="FFFFFF"/>
            <w:vAlign w:val="bottom"/>
          </w:tcPr>
          <w:p w14:paraId="56F247F8" w14:textId="358E79E5" w:rsidR="00E148AF" w:rsidRPr="00C36D11" w:rsidRDefault="00E148AF" w:rsidP="00E148AF">
            <w:pPr>
              <w:pStyle w:val="CETBodytext"/>
              <w:ind w:right="-1"/>
            </w:pPr>
            <w:r w:rsidRPr="00C36D11">
              <w:t>Export Steam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7BFE8DC" w14:textId="36E9CE08" w:rsidR="00E148AF" w:rsidRPr="00C36D11" w:rsidRDefault="00E148AF" w:rsidP="00E148AF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-0.019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08550BC1" w14:textId="4EA855D2" w:rsidR="00E148AF" w:rsidRPr="00C36D11" w:rsidRDefault="00F60F57" w:rsidP="00E148AF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€</w:t>
            </w:r>
            <w:r w:rsidR="00E148AF" w:rsidRPr="00C36D11">
              <w:t>/kg</w:t>
            </w:r>
          </w:p>
        </w:tc>
      </w:tr>
      <w:tr w:rsidR="00E148AF" w:rsidRPr="00C36D11" w14:paraId="66DA4696" w14:textId="77777777" w:rsidTr="00483934">
        <w:tc>
          <w:tcPr>
            <w:tcW w:w="1530" w:type="dxa"/>
            <w:shd w:val="clear" w:color="auto" w:fill="FFFFFF"/>
            <w:vAlign w:val="bottom"/>
          </w:tcPr>
          <w:p w14:paraId="0B8B5A90" w14:textId="5ED2CA0D" w:rsidR="00E148AF" w:rsidRPr="00C36D11" w:rsidRDefault="00E148AF" w:rsidP="00E148AF">
            <w:pPr>
              <w:pStyle w:val="CETBodytext"/>
              <w:ind w:right="-1"/>
            </w:pPr>
            <w:r w:rsidRPr="00C36D11">
              <w:t>Electrical power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C1DFF7B" w14:textId="4291D94E" w:rsidR="00E148AF" w:rsidRPr="00C36D11" w:rsidRDefault="00E148AF" w:rsidP="00E148AF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0.093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25DF023A" w14:textId="176CD4CC" w:rsidR="00E148AF" w:rsidRPr="00C36D11" w:rsidRDefault="00F60F57" w:rsidP="00E148AF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€</w:t>
            </w:r>
            <w:r w:rsidR="00E148AF" w:rsidRPr="00C36D11">
              <w:t>/kWh</w:t>
            </w:r>
          </w:p>
        </w:tc>
      </w:tr>
    </w:tbl>
    <w:p w14:paraId="3C4C5949" w14:textId="77777777" w:rsidR="00B81FD1" w:rsidRPr="00C36D11" w:rsidRDefault="00B81FD1" w:rsidP="00320B19">
      <w:pPr>
        <w:pStyle w:val="CETBodytext"/>
      </w:pPr>
    </w:p>
    <w:p w14:paraId="403F189C" w14:textId="01F5504C" w:rsidR="007A1C01" w:rsidRPr="00C36D11" w:rsidRDefault="00BA615E" w:rsidP="00320B19">
      <w:pPr>
        <w:pStyle w:val="CETBodytext"/>
      </w:pPr>
      <w:r w:rsidRPr="00C36D11">
        <w:lastRenderedPageBreak/>
        <w:fldChar w:fldCharType="begin"/>
      </w:r>
      <w:r w:rsidRPr="00C36D11">
        <w:instrText xml:space="preserve"> REF _Ref131701429 \h </w:instrText>
      </w:r>
      <w:r w:rsidR="00C36D11">
        <w:instrText xml:space="preserve"> \* MERGEFORMAT </w:instrText>
      </w:r>
      <w:r w:rsidRPr="00C36D11">
        <w:fldChar w:fldCharType="separate"/>
      </w:r>
      <w:r w:rsidRPr="00C36D11">
        <w:t xml:space="preserve">Table </w:t>
      </w:r>
      <w:r w:rsidRPr="00C36D11">
        <w:rPr>
          <w:noProof/>
        </w:rPr>
        <w:t>2</w:t>
      </w:r>
      <w:r w:rsidRPr="00C36D11">
        <w:fldChar w:fldCharType="end"/>
      </w:r>
      <w:r w:rsidRPr="00C36D11">
        <w:t xml:space="preserve"> and </w:t>
      </w:r>
      <w:r w:rsidRPr="00C36D11">
        <w:fldChar w:fldCharType="begin"/>
      </w:r>
      <w:r w:rsidRPr="00C36D11">
        <w:instrText xml:space="preserve"> REF _Ref131701432 \h </w:instrText>
      </w:r>
      <w:r w:rsidR="00C36D11">
        <w:instrText xml:space="preserve"> \* MERGEFORMAT </w:instrText>
      </w:r>
      <w:r w:rsidRPr="00C36D11">
        <w:fldChar w:fldCharType="separate"/>
      </w:r>
      <w:r w:rsidRPr="00C36D11">
        <w:t xml:space="preserve">Table </w:t>
      </w:r>
      <w:r w:rsidRPr="00C36D11">
        <w:rPr>
          <w:noProof/>
        </w:rPr>
        <w:t>3</w:t>
      </w:r>
      <w:r w:rsidRPr="00C36D11">
        <w:fldChar w:fldCharType="end"/>
      </w:r>
      <w:r w:rsidR="000860B3" w:rsidRPr="00C36D11">
        <w:t xml:space="preserve"> </w:t>
      </w:r>
      <w:r w:rsidR="001B0A02" w:rsidRPr="00C36D11">
        <w:t>compare the process parameters and the utility consumption of a real plant operation (i.e. without the help of DPM) with the same parameters that can be obtained by optimizing the operation through DPM</w:t>
      </w:r>
      <w:r w:rsidR="006B22AA" w:rsidRPr="00C36D11">
        <w:t xml:space="preserve">. </w:t>
      </w:r>
      <w:r w:rsidR="00E40BDD">
        <w:t>Results are based on 8600 hour</w:t>
      </w:r>
      <w:r w:rsidR="0016161C">
        <w:t xml:space="preserve">s of plant operation per </w:t>
      </w:r>
      <w:r w:rsidR="00E40BDD">
        <w:t>year</w:t>
      </w:r>
      <w:r w:rsidR="0016161C">
        <w:t xml:space="preserve">. </w:t>
      </w:r>
      <w:r w:rsidR="00E40BDD">
        <w:t xml:space="preserve"> </w:t>
      </w:r>
    </w:p>
    <w:p w14:paraId="07880603" w14:textId="03EA4FF1" w:rsidR="00CA4425" w:rsidRPr="00C36D11" w:rsidRDefault="00CA4425" w:rsidP="00482103">
      <w:pPr>
        <w:pStyle w:val="CETTabletitle"/>
        <w:spacing w:before="80"/>
      </w:pPr>
      <w:bookmarkStart w:id="1" w:name="_Ref131701429"/>
      <w:r w:rsidRPr="00C36D11">
        <w:t xml:space="preserve">Table </w:t>
      </w:r>
      <w:r w:rsidRPr="00C36D11">
        <w:fldChar w:fldCharType="begin"/>
      </w:r>
      <w:r w:rsidRPr="00C36D11">
        <w:instrText xml:space="preserve"> SEQ Table \* ARABIC </w:instrText>
      </w:r>
      <w:r w:rsidRPr="00C36D11">
        <w:fldChar w:fldCharType="separate"/>
      </w:r>
      <w:r w:rsidR="00925169" w:rsidRPr="00C36D11">
        <w:t>2</w:t>
      </w:r>
      <w:r w:rsidRPr="00C36D11">
        <w:fldChar w:fldCharType="end"/>
      </w:r>
      <w:bookmarkEnd w:id="1"/>
      <w:r w:rsidRPr="00C36D11">
        <w:t>: Process Parameters, HPU Case Study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0"/>
        <w:gridCol w:w="901"/>
        <w:gridCol w:w="891"/>
        <w:gridCol w:w="846"/>
      </w:tblGrid>
      <w:tr w:rsidR="0032328E" w:rsidRPr="00C36D11" w14:paraId="75842D36" w14:textId="26589429" w:rsidTr="00FB2F76">
        <w:tc>
          <w:tcPr>
            <w:tcW w:w="230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8F3E0A6" w14:textId="3D947851" w:rsidR="0032328E" w:rsidRPr="00C36D11" w:rsidRDefault="0032328E" w:rsidP="007A1C01">
            <w:pPr>
              <w:pStyle w:val="CETBodytext"/>
              <w:rPr>
                <w:lang w:val="en-GB"/>
              </w:rPr>
            </w:pPr>
          </w:p>
        </w:tc>
        <w:tc>
          <w:tcPr>
            <w:tcW w:w="90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EFDEE16" w14:textId="638FEC31" w:rsidR="0032328E" w:rsidRPr="00C36D11" w:rsidRDefault="0032328E" w:rsidP="007A1C01">
            <w:pPr>
              <w:pStyle w:val="CETBodytext"/>
              <w:rPr>
                <w:lang w:val="en-GB"/>
              </w:rPr>
            </w:pPr>
            <w:r w:rsidRPr="00C36D11">
              <w:t>UoM</w:t>
            </w:r>
          </w:p>
        </w:tc>
        <w:tc>
          <w:tcPr>
            <w:tcW w:w="89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EA39B28" w14:textId="1C71327C" w:rsidR="0032328E" w:rsidRPr="00C36D11" w:rsidRDefault="00466CB9" w:rsidP="007A1C01">
            <w:pPr>
              <w:pStyle w:val="CETBodytext"/>
              <w:rPr>
                <w:lang w:val="en-GB"/>
              </w:rPr>
            </w:pPr>
            <w:r w:rsidRPr="00C36D11">
              <w:t>w/o DPM</w:t>
            </w:r>
          </w:p>
        </w:tc>
        <w:tc>
          <w:tcPr>
            <w:tcW w:w="84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14531C6E" w14:textId="50F23997" w:rsidR="0032328E" w:rsidRPr="00C36D11" w:rsidRDefault="00466CB9" w:rsidP="007A1C01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 xml:space="preserve">with </w:t>
            </w:r>
            <w:r w:rsidR="0032328E" w:rsidRPr="00C36D11">
              <w:rPr>
                <w:lang w:val="en-GB"/>
              </w:rPr>
              <w:t>DPM</w:t>
            </w:r>
          </w:p>
        </w:tc>
      </w:tr>
      <w:tr w:rsidR="0032328E" w:rsidRPr="00C36D11" w14:paraId="45742AFC" w14:textId="7CA8EADB" w:rsidTr="00FB2F76">
        <w:tc>
          <w:tcPr>
            <w:tcW w:w="2300" w:type="dxa"/>
            <w:shd w:val="clear" w:color="auto" w:fill="FFFFFF"/>
            <w:vAlign w:val="bottom"/>
          </w:tcPr>
          <w:p w14:paraId="6AC76F18" w14:textId="4A0F8F55" w:rsidR="0032328E" w:rsidRPr="00C36D11" w:rsidRDefault="0032328E" w:rsidP="00024A15">
            <w:pPr>
              <w:pStyle w:val="CETBodytext"/>
              <w:rPr>
                <w:lang w:val="en-GB"/>
              </w:rPr>
            </w:pPr>
            <w:r w:rsidRPr="00C36D11">
              <w:t>Steam to carbon ratio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FFDDCEF" w14:textId="51FA9063" w:rsidR="0032328E" w:rsidRPr="00C36D11" w:rsidRDefault="0032328E" w:rsidP="00024A15">
            <w:pPr>
              <w:pStyle w:val="CETBodytext"/>
              <w:rPr>
                <w:lang w:val="en-GB"/>
              </w:rPr>
            </w:pPr>
            <w:r w:rsidRPr="00C36D11">
              <w:t>mol/mol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4911A859" w14:textId="1481FE02" w:rsidR="0032328E" w:rsidRPr="00C36D11" w:rsidRDefault="0032328E" w:rsidP="00024A15">
            <w:pPr>
              <w:pStyle w:val="CETBodytext"/>
              <w:rPr>
                <w:lang w:val="en-GB"/>
              </w:rPr>
            </w:pPr>
            <w:r w:rsidRPr="00C36D11">
              <w:t xml:space="preserve">3.9 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4B5B77E3" w14:textId="59FA569C" w:rsidR="0032328E" w:rsidRPr="00C36D11" w:rsidRDefault="0032328E" w:rsidP="00024A15">
            <w:pPr>
              <w:pStyle w:val="CETBodytext"/>
              <w:rPr>
                <w:lang w:val="en-GB"/>
              </w:rPr>
            </w:pPr>
            <w:r w:rsidRPr="00C36D11">
              <w:t>3.7</w:t>
            </w:r>
          </w:p>
        </w:tc>
      </w:tr>
      <w:tr w:rsidR="0032328E" w:rsidRPr="00C36D11" w14:paraId="43BBCDAD" w14:textId="2ACA2233" w:rsidTr="00FB2F76">
        <w:tc>
          <w:tcPr>
            <w:tcW w:w="2300" w:type="dxa"/>
            <w:shd w:val="clear" w:color="auto" w:fill="FFFFFF"/>
            <w:vAlign w:val="bottom"/>
          </w:tcPr>
          <w:p w14:paraId="14A1D86C" w14:textId="73D98E3D" w:rsidR="0032328E" w:rsidRPr="00C36D11" w:rsidRDefault="0032328E" w:rsidP="00024A15">
            <w:pPr>
              <w:pStyle w:val="CETBodytext"/>
              <w:rPr>
                <w:lang w:val="en-GB"/>
              </w:rPr>
            </w:pPr>
            <w:r w:rsidRPr="00C36D11">
              <w:t>Excess of air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1FF856AB" w14:textId="7C32A5C1" w:rsidR="0032328E" w:rsidRPr="00C36D11" w:rsidRDefault="0032328E" w:rsidP="00024A15">
            <w:pPr>
              <w:pStyle w:val="CETBodytext"/>
              <w:rPr>
                <w:lang w:val="en-GB"/>
              </w:rPr>
            </w:pPr>
            <w:r w:rsidRPr="00C36D11">
              <w:t>%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152190C7" w14:textId="3E0DD706" w:rsidR="0032328E" w:rsidRPr="00C36D11" w:rsidRDefault="0032328E" w:rsidP="00024A15">
            <w:pPr>
              <w:pStyle w:val="CETBodytext"/>
              <w:rPr>
                <w:lang w:val="en-GB"/>
              </w:rPr>
            </w:pPr>
            <w:r w:rsidRPr="00C36D11">
              <w:t>15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35B0C249" w14:textId="33FEC909" w:rsidR="0032328E" w:rsidRPr="00C36D11" w:rsidRDefault="0032328E" w:rsidP="00024A15">
            <w:pPr>
              <w:pStyle w:val="CETBodytext"/>
              <w:rPr>
                <w:lang w:val="en-GB"/>
              </w:rPr>
            </w:pPr>
            <w:r w:rsidRPr="00C36D11">
              <w:t>10</w:t>
            </w:r>
          </w:p>
        </w:tc>
      </w:tr>
      <w:tr w:rsidR="0032328E" w:rsidRPr="00C36D11" w14:paraId="46F53BAE" w14:textId="2BF7E15D" w:rsidTr="00FB2F76">
        <w:tc>
          <w:tcPr>
            <w:tcW w:w="2300" w:type="dxa"/>
            <w:shd w:val="clear" w:color="auto" w:fill="FFFFFF"/>
            <w:vAlign w:val="bottom"/>
          </w:tcPr>
          <w:p w14:paraId="16CE4635" w14:textId="50733F87" w:rsidR="0032328E" w:rsidRPr="00C36D11" w:rsidRDefault="0032328E" w:rsidP="00024A1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BFW delta T to steam drum</w:t>
            </w:r>
          </w:p>
        </w:tc>
        <w:tc>
          <w:tcPr>
            <w:tcW w:w="901" w:type="dxa"/>
            <w:shd w:val="clear" w:color="auto" w:fill="FFFFFF"/>
            <w:vAlign w:val="bottom"/>
          </w:tcPr>
          <w:p w14:paraId="0268295D" w14:textId="7058EF0A" w:rsidR="0032328E" w:rsidRPr="00C36D11" w:rsidRDefault="0032328E" w:rsidP="00024A1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°C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71077A8C" w14:textId="1ED73A09" w:rsidR="0032328E" w:rsidRPr="00C36D11" w:rsidRDefault="0032328E" w:rsidP="00024A1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-20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1013F644" w14:textId="41DA3839" w:rsidR="0032328E" w:rsidRPr="004E5C71" w:rsidRDefault="0032328E" w:rsidP="00024A1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4E5C71">
              <w:t>0</w:t>
            </w:r>
          </w:p>
        </w:tc>
      </w:tr>
      <w:tr w:rsidR="0032328E" w:rsidRPr="00C36D11" w14:paraId="5D5AA967" w14:textId="66A95FEE" w:rsidTr="00FB2F76">
        <w:tc>
          <w:tcPr>
            <w:tcW w:w="2300" w:type="dxa"/>
            <w:shd w:val="clear" w:color="auto" w:fill="FFFFFF"/>
            <w:vAlign w:val="bottom"/>
          </w:tcPr>
          <w:p w14:paraId="48FF657E" w14:textId="6BABAB16" w:rsidR="0032328E" w:rsidRPr="00C36D11" w:rsidRDefault="0032328E" w:rsidP="00024A15">
            <w:pPr>
              <w:pStyle w:val="CETBodytext"/>
              <w:ind w:right="-1"/>
            </w:pPr>
            <w:r w:rsidRPr="00C36D11">
              <w:t>Air delta T to burners</w:t>
            </w:r>
          </w:p>
        </w:tc>
        <w:tc>
          <w:tcPr>
            <w:tcW w:w="901" w:type="dxa"/>
            <w:shd w:val="clear" w:color="auto" w:fill="FFFFFF"/>
            <w:vAlign w:val="bottom"/>
          </w:tcPr>
          <w:p w14:paraId="08E5601A" w14:textId="33CF56AA" w:rsidR="0032328E" w:rsidRPr="00C36D11" w:rsidRDefault="0032328E" w:rsidP="00024A1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°C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62A48A4D" w14:textId="343C9259" w:rsidR="0032328E" w:rsidRPr="00C36D11" w:rsidRDefault="0032328E" w:rsidP="00024A1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-15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37A8631C" w14:textId="12C72AF7" w:rsidR="0032328E" w:rsidRPr="004E5C71" w:rsidRDefault="0032328E" w:rsidP="00024A1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4E5C71">
              <w:t>0</w:t>
            </w:r>
          </w:p>
        </w:tc>
      </w:tr>
      <w:tr w:rsidR="0032328E" w:rsidRPr="00C36D11" w14:paraId="3181D9DC" w14:textId="7B9597AF" w:rsidTr="00FB2F76">
        <w:tc>
          <w:tcPr>
            <w:tcW w:w="2300" w:type="dxa"/>
            <w:shd w:val="clear" w:color="auto" w:fill="FFFFFF"/>
            <w:vAlign w:val="bottom"/>
          </w:tcPr>
          <w:p w14:paraId="7A21B0CD" w14:textId="7DC7F5E8" w:rsidR="0032328E" w:rsidRPr="00C36D11" w:rsidRDefault="0032328E" w:rsidP="00024A15">
            <w:pPr>
              <w:pStyle w:val="CETBodytext"/>
              <w:ind w:right="-1"/>
            </w:pPr>
            <w:r w:rsidRPr="00C36D11">
              <w:t>Feed loss from vents</w:t>
            </w:r>
          </w:p>
        </w:tc>
        <w:tc>
          <w:tcPr>
            <w:tcW w:w="901" w:type="dxa"/>
            <w:shd w:val="clear" w:color="auto" w:fill="FFFFFF"/>
            <w:vAlign w:val="bottom"/>
          </w:tcPr>
          <w:p w14:paraId="7988A740" w14:textId="7B31BD9D" w:rsidR="0032328E" w:rsidRPr="00C36D11" w:rsidRDefault="0032328E" w:rsidP="00024A1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%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0A8528FB" w14:textId="3E442573" w:rsidR="0032328E" w:rsidRPr="00C36D11" w:rsidRDefault="0032328E" w:rsidP="00024A1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1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13D16844" w14:textId="575D7887" w:rsidR="0032328E" w:rsidRPr="004E5C71" w:rsidRDefault="0032328E" w:rsidP="00024A1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4E5C71">
              <w:t>0</w:t>
            </w:r>
          </w:p>
        </w:tc>
      </w:tr>
    </w:tbl>
    <w:p w14:paraId="1F083629" w14:textId="00A13798" w:rsidR="00BA615E" w:rsidRPr="00C36D11" w:rsidRDefault="00BA615E" w:rsidP="00482103">
      <w:pPr>
        <w:pStyle w:val="CETTabletitle"/>
        <w:spacing w:before="80"/>
      </w:pPr>
      <w:bookmarkStart w:id="2" w:name="_Ref131701432"/>
      <w:r w:rsidRPr="00C36D11">
        <w:t xml:space="preserve">Table </w:t>
      </w:r>
      <w:r w:rsidRPr="00C36D11">
        <w:fldChar w:fldCharType="begin"/>
      </w:r>
      <w:r w:rsidRPr="00C36D11">
        <w:instrText xml:space="preserve"> SEQ Table \* ARABIC </w:instrText>
      </w:r>
      <w:r w:rsidRPr="00C36D11">
        <w:fldChar w:fldCharType="separate"/>
      </w:r>
      <w:r w:rsidR="00925169" w:rsidRPr="00C36D11">
        <w:t>3</w:t>
      </w:r>
      <w:r w:rsidRPr="00C36D11">
        <w:fldChar w:fldCharType="end"/>
      </w:r>
      <w:bookmarkEnd w:id="2"/>
      <w:r w:rsidRPr="00C36D11">
        <w:t>: Utility Consumption, HPU Case Study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9"/>
        <w:gridCol w:w="901"/>
        <w:gridCol w:w="891"/>
        <w:gridCol w:w="846"/>
      </w:tblGrid>
      <w:tr w:rsidR="00466CB9" w:rsidRPr="00C36D11" w14:paraId="4D57E11B" w14:textId="77777777" w:rsidTr="00483934">
        <w:tc>
          <w:tcPr>
            <w:tcW w:w="197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bottom"/>
          </w:tcPr>
          <w:p w14:paraId="016288E4" w14:textId="67C5416E" w:rsidR="00466CB9" w:rsidRPr="00C36D11" w:rsidRDefault="00466CB9" w:rsidP="00466CB9">
            <w:pPr>
              <w:pStyle w:val="CETBodytext"/>
            </w:pPr>
            <w:r w:rsidRPr="00C36D11">
              <w:t> </w:t>
            </w:r>
          </w:p>
        </w:tc>
        <w:tc>
          <w:tcPr>
            <w:tcW w:w="90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C2A55BD" w14:textId="69D2AE31" w:rsidR="00466CB9" w:rsidRPr="00C36D11" w:rsidRDefault="00466CB9" w:rsidP="00466CB9">
            <w:pPr>
              <w:pStyle w:val="CETBodytext"/>
            </w:pPr>
            <w:r w:rsidRPr="00C36D11">
              <w:t>UoM</w:t>
            </w:r>
          </w:p>
        </w:tc>
        <w:tc>
          <w:tcPr>
            <w:tcW w:w="89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F28155E" w14:textId="5D716B1A" w:rsidR="00466CB9" w:rsidRPr="00C36D11" w:rsidRDefault="00466CB9" w:rsidP="00466CB9">
            <w:pPr>
              <w:pStyle w:val="CETBodytext"/>
            </w:pPr>
            <w:r w:rsidRPr="00C36D11">
              <w:t>w/o DPM</w:t>
            </w:r>
          </w:p>
        </w:tc>
        <w:tc>
          <w:tcPr>
            <w:tcW w:w="84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7FC8970E" w14:textId="5CA43BE7" w:rsidR="00466CB9" w:rsidRPr="00C36D11" w:rsidRDefault="00466CB9" w:rsidP="00466CB9">
            <w:pPr>
              <w:pStyle w:val="CETBodytext"/>
            </w:pPr>
            <w:r w:rsidRPr="00C36D11">
              <w:rPr>
                <w:lang w:val="en-GB"/>
              </w:rPr>
              <w:t>with DPM</w:t>
            </w:r>
          </w:p>
        </w:tc>
      </w:tr>
      <w:tr w:rsidR="00CA4425" w:rsidRPr="00C36D11" w14:paraId="03DC44B6" w14:textId="77777777" w:rsidTr="00483934">
        <w:tc>
          <w:tcPr>
            <w:tcW w:w="1979" w:type="dxa"/>
            <w:shd w:val="clear" w:color="auto" w:fill="FFFFFF"/>
            <w:vAlign w:val="center"/>
          </w:tcPr>
          <w:p w14:paraId="3F63ADBD" w14:textId="24096DB0" w:rsidR="00CA4425" w:rsidRPr="00C36D11" w:rsidRDefault="00CA4425" w:rsidP="00CA4425">
            <w:pPr>
              <w:pStyle w:val="CETBodytext"/>
            </w:pPr>
            <w:r w:rsidRPr="00C36D11">
              <w:t>Natural gas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6E0CF8D5" w14:textId="5B0B58A4" w:rsidR="00CA4425" w:rsidRPr="00C36D11" w:rsidRDefault="00CA4425" w:rsidP="00CA4425">
            <w:pPr>
              <w:pStyle w:val="CETBodytext"/>
            </w:pPr>
            <w:r w:rsidRPr="00C36D11">
              <w:t>kg/hr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02B30708" w14:textId="0C476E94" w:rsidR="00CA4425" w:rsidRPr="00C36D11" w:rsidRDefault="00CA4425" w:rsidP="00CA4425">
            <w:pPr>
              <w:pStyle w:val="CETBodytext"/>
            </w:pPr>
            <w:r w:rsidRPr="00C36D11">
              <w:t>15550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292176EE" w14:textId="1605FC1D" w:rsidR="00CA4425" w:rsidRPr="00C36D11" w:rsidRDefault="00CA4425" w:rsidP="00CA4425">
            <w:pPr>
              <w:pStyle w:val="CETBodytext"/>
            </w:pPr>
            <w:r w:rsidRPr="00C36D11">
              <w:t>15790</w:t>
            </w:r>
          </w:p>
        </w:tc>
      </w:tr>
      <w:tr w:rsidR="00CA4425" w:rsidRPr="00C36D11" w14:paraId="63028C87" w14:textId="77777777" w:rsidTr="00483934">
        <w:tc>
          <w:tcPr>
            <w:tcW w:w="1979" w:type="dxa"/>
            <w:shd w:val="clear" w:color="auto" w:fill="FFFFFF"/>
            <w:vAlign w:val="bottom"/>
          </w:tcPr>
          <w:p w14:paraId="34449FBB" w14:textId="322CF81B" w:rsidR="00CA4425" w:rsidRPr="00C36D11" w:rsidRDefault="00CA4425" w:rsidP="00CA4425">
            <w:pPr>
              <w:pStyle w:val="CETBodytext"/>
            </w:pPr>
            <w:r w:rsidRPr="00C36D11">
              <w:t>Make up fuel gas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47B0A9D1" w14:textId="136592B4" w:rsidR="00CA4425" w:rsidRPr="00C36D11" w:rsidRDefault="00CA4425" w:rsidP="00CA4425">
            <w:pPr>
              <w:pStyle w:val="CETBodytext"/>
            </w:pPr>
            <w:r w:rsidRPr="00C36D11">
              <w:t>kg/hr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5F6F8B71" w14:textId="025003D4" w:rsidR="00CA4425" w:rsidRPr="00C36D11" w:rsidRDefault="00CA4425" w:rsidP="00CA4425">
            <w:pPr>
              <w:pStyle w:val="CETBodytext"/>
            </w:pPr>
            <w:r w:rsidRPr="00C36D11">
              <w:t>4240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55456A0E" w14:textId="31606622" w:rsidR="00CA4425" w:rsidRPr="00C36D11" w:rsidRDefault="00CA4425" w:rsidP="00CA4425">
            <w:pPr>
              <w:pStyle w:val="CETBodytext"/>
            </w:pPr>
            <w:r w:rsidRPr="00C36D11">
              <w:t>3340</w:t>
            </w:r>
          </w:p>
        </w:tc>
      </w:tr>
      <w:tr w:rsidR="00CA4425" w:rsidRPr="00C36D11" w14:paraId="106D73D1" w14:textId="77777777" w:rsidTr="00483934">
        <w:tc>
          <w:tcPr>
            <w:tcW w:w="1979" w:type="dxa"/>
            <w:shd w:val="clear" w:color="auto" w:fill="FFFFFF"/>
            <w:vAlign w:val="center"/>
          </w:tcPr>
          <w:p w14:paraId="73D5F107" w14:textId="23F92FAF" w:rsidR="00CA4425" w:rsidRPr="00C36D11" w:rsidRDefault="00CA4425" w:rsidP="00CA4425">
            <w:pPr>
              <w:pStyle w:val="CETBodytext"/>
            </w:pPr>
            <w:r w:rsidRPr="00C36D11">
              <w:t>BFW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18C9F83" w14:textId="078E7AD4" w:rsidR="00CA4425" w:rsidRPr="00C36D11" w:rsidRDefault="00CA4425" w:rsidP="00CA4425">
            <w:pPr>
              <w:pStyle w:val="CETBodytext"/>
            </w:pPr>
            <w:r w:rsidRPr="00C36D11">
              <w:t>t/hr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3AD05C1A" w14:textId="394092DC" w:rsidR="00CA4425" w:rsidRPr="00C36D11" w:rsidRDefault="00CA4425" w:rsidP="00CA4425">
            <w:pPr>
              <w:pStyle w:val="CETBodytext"/>
            </w:pPr>
            <w:r w:rsidRPr="00C36D11">
              <w:t>77.83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666A207E" w14:textId="5465F1C1" w:rsidR="00CA4425" w:rsidRPr="00C36D11" w:rsidRDefault="00CA4425" w:rsidP="00CA4425">
            <w:pPr>
              <w:pStyle w:val="CETBodytext"/>
            </w:pPr>
            <w:r w:rsidRPr="00C36D11">
              <w:t>73.86</w:t>
            </w:r>
          </w:p>
        </w:tc>
      </w:tr>
      <w:tr w:rsidR="00CA4425" w:rsidRPr="00C36D11" w14:paraId="5C9D7C22" w14:textId="77777777" w:rsidTr="00483934">
        <w:tc>
          <w:tcPr>
            <w:tcW w:w="1979" w:type="dxa"/>
            <w:shd w:val="clear" w:color="auto" w:fill="FFFFFF"/>
            <w:vAlign w:val="center"/>
          </w:tcPr>
          <w:p w14:paraId="5200DDEF" w14:textId="01C435A1" w:rsidR="00CA4425" w:rsidRPr="00C36D11" w:rsidRDefault="00CA4425" w:rsidP="00CA4425">
            <w:pPr>
              <w:pStyle w:val="CETBodytext"/>
            </w:pPr>
            <w:r w:rsidRPr="00C36D11">
              <w:t>cooling water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064EFED5" w14:textId="367AEBC5" w:rsidR="00CA4425" w:rsidRPr="00C36D11" w:rsidRDefault="00CA4425" w:rsidP="00CA4425">
            <w:pPr>
              <w:pStyle w:val="CETBodytext"/>
            </w:pPr>
            <w:r w:rsidRPr="00C36D11">
              <w:t>t/hr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1F92DF2A" w14:textId="1DB397EE" w:rsidR="00CA4425" w:rsidRPr="00C36D11" w:rsidRDefault="00CA4425" w:rsidP="00CA4425">
            <w:pPr>
              <w:pStyle w:val="CETBodytext"/>
            </w:pPr>
            <w:r w:rsidRPr="00C36D11">
              <w:t>217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6088010F" w14:textId="3F03D335" w:rsidR="00CA4425" w:rsidRPr="00C36D11" w:rsidRDefault="00CA4425" w:rsidP="00CA4425">
            <w:pPr>
              <w:pStyle w:val="CETBodytext"/>
            </w:pPr>
            <w:r w:rsidRPr="00C36D11">
              <w:t>210</w:t>
            </w:r>
          </w:p>
        </w:tc>
      </w:tr>
      <w:tr w:rsidR="00CA4425" w:rsidRPr="00C36D11" w14:paraId="7D753236" w14:textId="77777777" w:rsidTr="00483934">
        <w:tc>
          <w:tcPr>
            <w:tcW w:w="1979" w:type="dxa"/>
            <w:shd w:val="clear" w:color="auto" w:fill="FFFFFF"/>
            <w:vAlign w:val="bottom"/>
          </w:tcPr>
          <w:p w14:paraId="20AFFC78" w14:textId="3A1AD843" w:rsidR="00CA4425" w:rsidRPr="00684F1B" w:rsidRDefault="00CA4425" w:rsidP="00CA4425">
            <w:pPr>
              <w:pStyle w:val="CETBodytext"/>
            </w:pPr>
            <w:r w:rsidRPr="00684F1B">
              <w:t>LP steam</w:t>
            </w:r>
            <w:r w:rsidR="004173E5" w:rsidRPr="007B79C2">
              <w:t xml:space="preserve"> Import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1A755273" w14:textId="707B2D2A" w:rsidR="00CA4425" w:rsidRPr="00C36D11" w:rsidRDefault="00CA4425" w:rsidP="00CA4425">
            <w:pPr>
              <w:pStyle w:val="CETBodytext"/>
            </w:pPr>
            <w:r w:rsidRPr="00C36D11">
              <w:t>kg/hr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21E8CADD" w14:textId="1EDC5B1A" w:rsidR="00CA4425" w:rsidRPr="00C36D11" w:rsidRDefault="00CA4425" w:rsidP="00CA4425">
            <w:pPr>
              <w:pStyle w:val="CETBodytext"/>
            </w:pPr>
            <w:r w:rsidRPr="00C36D11">
              <w:t>300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7ABB45E4" w14:textId="37726977" w:rsidR="00CA4425" w:rsidRPr="00C36D11" w:rsidRDefault="00CA4425" w:rsidP="00CA4425">
            <w:pPr>
              <w:pStyle w:val="CETBodytext"/>
            </w:pPr>
            <w:r w:rsidRPr="00C36D11">
              <w:t>250</w:t>
            </w:r>
          </w:p>
        </w:tc>
      </w:tr>
      <w:tr w:rsidR="00CA4425" w:rsidRPr="00C36D11" w14:paraId="67627BDE" w14:textId="77777777" w:rsidTr="00483934">
        <w:tc>
          <w:tcPr>
            <w:tcW w:w="1979" w:type="dxa"/>
            <w:shd w:val="clear" w:color="auto" w:fill="FFFFFF"/>
            <w:vAlign w:val="bottom"/>
          </w:tcPr>
          <w:p w14:paraId="14144186" w14:textId="035D4500" w:rsidR="00CA4425" w:rsidRPr="007B79C2" w:rsidRDefault="00684F1B" w:rsidP="00CA4425">
            <w:pPr>
              <w:pStyle w:val="CETBodytext"/>
            </w:pPr>
            <w:r w:rsidRPr="007D584D">
              <w:t xml:space="preserve">HP </w:t>
            </w:r>
            <w:r w:rsidR="00CA4425" w:rsidRPr="00684F1B">
              <w:t>Steam</w:t>
            </w:r>
            <w:r w:rsidRPr="007B79C2">
              <w:t xml:space="preserve"> </w:t>
            </w:r>
            <w:r w:rsidRPr="007D584D">
              <w:t>Export</w:t>
            </w:r>
            <w:r w:rsidRPr="00684F1B">
              <w:t xml:space="preserve"> 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6822678D" w14:textId="5A0CEDC5" w:rsidR="00CA4425" w:rsidRPr="00C36D11" w:rsidRDefault="00CA4425" w:rsidP="00CA4425">
            <w:pPr>
              <w:pStyle w:val="CETBodytext"/>
            </w:pPr>
            <w:r w:rsidRPr="00C36D11">
              <w:t>kg/hr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0AEB7D11" w14:textId="3D0A8FB5" w:rsidR="00CA4425" w:rsidRPr="00C36D11" w:rsidRDefault="00CA4425" w:rsidP="00CA4425">
            <w:pPr>
              <w:pStyle w:val="CETBodytext"/>
            </w:pPr>
            <w:r w:rsidRPr="00C36D11">
              <w:t>52500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0729BDC9" w14:textId="5937F73B" w:rsidR="00CA4425" w:rsidRPr="00C36D11" w:rsidRDefault="00CA4425" w:rsidP="00CA4425">
            <w:pPr>
              <w:pStyle w:val="CETBodytext"/>
            </w:pPr>
            <w:r w:rsidRPr="00C36D11">
              <w:t>53280</w:t>
            </w:r>
          </w:p>
        </w:tc>
      </w:tr>
      <w:tr w:rsidR="00CA4425" w:rsidRPr="00C36D11" w14:paraId="7F8DBBFA" w14:textId="77777777" w:rsidTr="00483934">
        <w:tc>
          <w:tcPr>
            <w:tcW w:w="1979" w:type="dxa"/>
            <w:shd w:val="clear" w:color="auto" w:fill="FFFFFF"/>
            <w:vAlign w:val="bottom"/>
          </w:tcPr>
          <w:p w14:paraId="4836E829" w14:textId="53148287" w:rsidR="00CA4425" w:rsidRPr="00C36D11" w:rsidRDefault="00CA4425" w:rsidP="00CA4425">
            <w:pPr>
              <w:pStyle w:val="CETBodytext"/>
            </w:pPr>
            <w:r w:rsidRPr="00C36D11">
              <w:t>Electrical power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D75580A" w14:textId="54E044B1" w:rsidR="00CA4425" w:rsidRPr="00C36D11" w:rsidRDefault="00CA4425" w:rsidP="00CA4425">
            <w:pPr>
              <w:pStyle w:val="CETBodytext"/>
            </w:pPr>
            <w:r w:rsidRPr="00C36D11">
              <w:t>kWh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19BF6E19" w14:textId="3AB8175D" w:rsidR="00CA4425" w:rsidRPr="00C36D11" w:rsidRDefault="00CA4425" w:rsidP="00CA4425">
            <w:pPr>
              <w:pStyle w:val="CETBodytext"/>
            </w:pPr>
            <w:r w:rsidRPr="00C36D11">
              <w:t>2174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5FEF6F4D" w14:textId="43651530" w:rsidR="00CA4425" w:rsidRPr="00C36D11" w:rsidRDefault="00CA4425" w:rsidP="00CA4425">
            <w:pPr>
              <w:pStyle w:val="CETBodytext"/>
            </w:pPr>
            <w:r w:rsidRPr="00C36D11">
              <w:t>1663</w:t>
            </w:r>
          </w:p>
        </w:tc>
      </w:tr>
    </w:tbl>
    <w:p w14:paraId="6A45588A" w14:textId="77777777" w:rsidR="00CA4425" w:rsidRPr="00C36D11" w:rsidRDefault="00CA4425" w:rsidP="00320B19">
      <w:pPr>
        <w:pStyle w:val="CETBodytext"/>
      </w:pPr>
    </w:p>
    <w:p w14:paraId="0576AA2D" w14:textId="35CFE68A" w:rsidR="005E43F2" w:rsidRPr="00B542C6" w:rsidRDefault="00D4174D" w:rsidP="00320B19">
      <w:pPr>
        <w:pStyle w:val="CETBodytext"/>
        <w:rPr>
          <w:b/>
          <w:bCs/>
          <w:i/>
          <w:iCs/>
        </w:rPr>
      </w:pPr>
      <w:r w:rsidRPr="00B542C6">
        <w:rPr>
          <w:b/>
          <w:bCs/>
          <w:i/>
          <w:iCs/>
        </w:rPr>
        <w:t>The result of the case study led to a</w:t>
      </w:r>
      <w:r w:rsidR="000843B3">
        <w:rPr>
          <w:b/>
          <w:bCs/>
          <w:i/>
          <w:iCs/>
        </w:rPr>
        <w:t>n estimated</w:t>
      </w:r>
      <w:r w:rsidRPr="00B542C6">
        <w:rPr>
          <w:b/>
          <w:bCs/>
          <w:i/>
          <w:iCs/>
        </w:rPr>
        <w:t xml:space="preserve"> sa</w:t>
      </w:r>
      <w:r w:rsidR="00704867" w:rsidRPr="00B542C6">
        <w:rPr>
          <w:b/>
          <w:bCs/>
          <w:i/>
          <w:iCs/>
        </w:rPr>
        <w:t xml:space="preserve">ving on </w:t>
      </w:r>
      <w:r w:rsidR="0044103F">
        <w:rPr>
          <w:b/>
          <w:bCs/>
          <w:i/>
          <w:iCs/>
        </w:rPr>
        <w:t>OPEX</w:t>
      </w:r>
      <w:r w:rsidR="00704867" w:rsidRPr="00B542C6">
        <w:rPr>
          <w:b/>
          <w:bCs/>
          <w:i/>
          <w:iCs/>
        </w:rPr>
        <w:t xml:space="preserve"> up to 1</w:t>
      </w:r>
      <w:r w:rsidR="00AD7D5F">
        <w:rPr>
          <w:b/>
          <w:bCs/>
          <w:i/>
          <w:iCs/>
        </w:rPr>
        <w:t>,</w:t>
      </w:r>
      <w:r w:rsidR="00704867" w:rsidRPr="00B542C6">
        <w:rPr>
          <w:b/>
          <w:bCs/>
          <w:i/>
          <w:iCs/>
        </w:rPr>
        <w:t xml:space="preserve">2 million Euro/year </w:t>
      </w:r>
      <w:r w:rsidR="00416367" w:rsidRPr="00B542C6">
        <w:rPr>
          <w:b/>
          <w:bCs/>
          <w:i/>
          <w:iCs/>
        </w:rPr>
        <w:t>adopting</w:t>
      </w:r>
      <w:r w:rsidR="00704867" w:rsidRPr="00B542C6">
        <w:rPr>
          <w:b/>
          <w:bCs/>
          <w:i/>
          <w:iCs/>
        </w:rPr>
        <w:t xml:space="preserve"> DPM.</w:t>
      </w:r>
    </w:p>
    <w:p w14:paraId="0F3F5EF6" w14:textId="77777777" w:rsidR="00244F93" w:rsidRPr="00C36D11" w:rsidRDefault="00244F93" w:rsidP="00320B19">
      <w:pPr>
        <w:pStyle w:val="CETBodytext"/>
      </w:pPr>
    </w:p>
    <w:p w14:paraId="5D2001EC" w14:textId="71E102E8" w:rsidR="008B671B" w:rsidRPr="00C36D11" w:rsidRDefault="00D671CD" w:rsidP="00F87607">
      <w:pPr>
        <w:pStyle w:val="CETBodytext"/>
      </w:pPr>
      <w:r w:rsidRPr="00C36D11">
        <w:t xml:space="preserve">A similar case study has been conducted </w:t>
      </w:r>
      <w:r w:rsidR="002645D7" w:rsidRPr="00C36D11">
        <w:t>for a</w:t>
      </w:r>
      <w:r w:rsidRPr="00C36D11">
        <w:t xml:space="preserve"> </w:t>
      </w:r>
      <w:r w:rsidR="00027188" w:rsidRPr="00C36D11">
        <w:t>SRU</w:t>
      </w:r>
      <w:r w:rsidR="00AB244E" w:rsidRPr="00C36D11">
        <w:t xml:space="preserve"> </w:t>
      </w:r>
      <w:r w:rsidR="00B05C79" w:rsidRPr="00C36D11">
        <w:t xml:space="preserve">with capacity of </w:t>
      </w:r>
      <w:r w:rsidR="00A7642C">
        <w:t>190</w:t>
      </w:r>
      <w:r w:rsidR="00B05C79" w:rsidRPr="00C36D11">
        <w:t xml:space="preserve">t/d of removed </w:t>
      </w:r>
      <w:r w:rsidR="00EF5C0F" w:rsidRPr="00C36D11">
        <w:t>s</w:t>
      </w:r>
      <w:r w:rsidR="00B05C79" w:rsidRPr="00C36D11">
        <w:t xml:space="preserve">ulphur </w:t>
      </w:r>
      <w:r w:rsidR="00AB244E" w:rsidRPr="00C36D11">
        <w:t xml:space="preserve">located in </w:t>
      </w:r>
      <w:r w:rsidR="00015470" w:rsidRPr="00C36D11">
        <w:t>Europe</w:t>
      </w:r>
      <w:r w:rsidR="002645D7" w:rsidRPr="00C36D11">
        <w:t>.</w:t>
      </w:r>
      <w:r w:rsidR="00015470" w:rsidRPr="00C36D11">
        <w:t xml:space="preserve"> </w:t>
      </w:r>
    </w:p>
    <w:p w14:paraId="4C7182C5" w14:textId="5826AA44" w:rsidR="00F87607" w:rsidRPr="00C36D11" w:rsidRDefault="000C085C" w:rsidP="00F87607">
      <w:pPr>
        <w:pStyle w:val="CETBodytext"/>
      </w:pPr>
      <w:r w:rsidRPr="00C36D11">
        <w:t xml:space="preserve">The utility costs used in the case study are summarized in </w:t>
      </w:r>
      <w:r w:rsidR="00F31567" w:rsidRPr="00C36D11">
        <w:fldChar w:fldCharType="begin"/>
      </w:r>
      <w:r w:rsidR="00F31567" w:rsidRPr="00C36D11">
        <w:instrText xml:space="preserve"> REF _Ref131702261 \h </w:instrText>
      </w:r>
      <w:r w:rsidR="00C36D11">
        <w:instrText xml:space="preserve"> \* MERGEFORMAT </w:instrText>
      </w:r>
      <w:r w:rsidR="00F31567" w:rsidRPr="00C36D11">
        <w:fldChar w:fldCharType="separate"/>
      </w:r>
      <w:r w:rsidR="00F31567" w:rsidRPr="00C36D11">
        <w:t xml:space="preserve">Table </w:t>
      </w:r>
      <w:r w:rsidR="00F31567" w:rsidRPr="00C36D11">
        <w:rPr>
          <w:noProof/>
        </w:rPr>
        <w:t>4</w:t>
      </w:r>
      <w:r w:rsidR="00F31567" w:rsidRPr="00C36D11">
        <w:fldChar w:fldCharType="end"/>
      </w:r>
      <w:r w:rsidR="00F31567" w:rsidRPr="00C36D11">
        <w:t>.</w:t>
      </w:r>
      <w:bookmarkStart w:id="3" w:name="_Ref131702261"/>
    </w:p>
    <w:p w14:paraId="624FCEFE" w14:textId="5279E7C0" w:rsidR="00FB2F76" w:rsidRPr="00C36D11" w:rsidRDefault="00FB2F76" w:rsidP="00482103">
      <w:pPr>
        <w:pStyle w:val="CETTabletitle"/>
        <w:spacing w:before="80"/>
      </w:pPr>
      <w:r w:rsidRPr="00C36D11">
        <w:t xml:space="preserve">Table </w:t>
      </w:r>
      <w:r w:rsidRPr="00C36D11">
        <w:fldChar w:fldCharType="begin"/>
      </w:r>
      <w:r w:rsidRPr="00C36D11">
        <w:instrText xml:space="preserve"> SEQ Table \* ARABIC </w:instrText>
      </w:r>
      <w:r w:rsidRPr="00C36D11">
        <w:fldChar w:fldCharType="separate"/>
      </w:r>
      <w:r w:rsidR="00925169" w:rsidRPr="00C36D11">
        <w:t>4</w:t>
      </w:r>
      <w:r w:rsidRPr="00C36D11">
        <w:fldChar w:fldCharType="end"/>
      </w:r>
      <w:bookmarkEnd w:id="3"/>
      <w:r w:rsidRPr="00C36D11">
        <w:t xml:space="preserve">: </w:t>
      </w:r>
      <w:r w:rsidR="00E71138" w:rsidRPr="00C36D11">
        <w:t>Utility costs for European area, SRU case study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0"/>
        <w:gridCol w:w="1080"/>
        <w:gridCol w:w="792"/>
      </w:tblGrid>
      <w:tr w:rsidR="00733DE6" w:rsidRPr="00C36D11" w14:paraId="3C2BA5A5" w14:textId="77777777" w:rsidTr="00483934">
        <w:tc>
          <w:tcPr>
            <w:tcW w:w="153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DF8FAD6" w14:textId="7063834B" w:rsidR="00733DE6" w:rsidRPr="00C36D11" w:rsidRDefault="00E71138" w:rsidP="00483934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Utility</w:t>
            </w:r>
          </w:p>
        </w:tc>
        <w:tc>
          <w:tcPr>
            <w:tcW w:w="108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3BB9CD6" w14:textId="77777777" w:rsidR="00733DE6" w:rsidRPr="00C36D11" w:rsidRDefault="00733DE6" w:rsidP="00483934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Price</w:t>
            </w:r>
          </w:p>
        </w:tc>
        <w:tc>
          <w:tcPr>
            <w:tcW w:w="79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F7CA752" w14:textId="77777777" w:rsidR="00733DE6" w:rsidRPr="00C36D11" w:rsidRDefault="00733DE6" w:rsidP="00483934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Unit</w:t>
            </w:r>
          </w:p>
        </w:tc>
      </w:tr>
      <w:tr w:rsidR="00733DE6" w:rsidRPr="00C36D11" w14:paraId="7334580A" w14:textId="77777777" w:rsidTr="00483934">
        <w:tc>
          <w:tcPr>
            <w:tcW w:w="1530" w:type="dxa"/>
            <w:shd w:val="clear" w:color="auto" w:fill="FFFFFF"/>
            <w:vAlign w:val="center"/>
          </w:tcPr>
          <w:p w14:paraId="717E6EE6" w14:textId="37D16BB7" w:rsidR="00733DE6" w:rsidRPr="00C36D11" w:rsidRDefault="00733DE6" w:rsidP="00733DE6">
            <w:pPr>
              <w:pStyle w:val="CETBodytext"/>
              <w:rPr>
                <w:lang w:val="en-GB"/>
              </w:rPr>
            </w:pPr>
            <w:r w:rsidRPr="00C36D11">
              <w:t>O2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A716418" w14:textId="38C72C64" w:rsidR="00733DE6" w:rsidRPr="00C36D11" w:rsidRDefault="00733DE6" w:rsidP="00733DE6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0.19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0B19ADFC" w14:textId="59FC6EF0" w:rsidR="00733DE6" w:rsidRPr="00C36D11" w:rsidRDefault="00733DE6" w:rsidP="00733DE6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€/Nm</w:t>
            </w:r>
            <w:r w:rsidRPr="00C36D11">
              <w:rPr>
                <w:vertAlign w:val="superscript"/>
                <w:lang w:val="en-GB"/>
              </w:rPr>
              <w:t>3</w:t>
            </w:r>
          </w:p>
        </w:tc>
      </w:tr>
      <w:tr w:rsidR="00733DE6" w:rsidRPr="00C36D11" w14:paraId="017C7BF9" w14:textId="77777777" w:rsidTr="00483934">
        <w:tc>
          <w:tcPr>
            <w:tcW w:w="1530" w:type="dxa"/>
            <w:shd w:val="clear" w:color="auto" w:fill="FFFFFF"/>
            <w:vAlign w:val="bottom"/>
          </w:tcPr>
          <w:p w14:paraId="3A225A04" w14:textId="529C992D" w:rsidR="00733DE6" w:rsidRPr="00C36D11" w:rsidRDefault="00733DE6" w:rsidP="00733DE6">
            <w:pPr>
              <w:pStyle w:val="CETBodytext"/>
              <w:rPr>
                <w:lang w:val="en-GB"/>
              </w:rPr>
            </w:pPr>
            <w:r w:rsidRPr="00C36D11">
              <w:t>Fuel gas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2E411F6" w14:textId="7E826FE0" w:rsidR="00733DE6" w:rsidRPr="00C36D11" w:rsidRDefault="00733DE6" w:rsidP="00733DE6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0.18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1291E149" w14:textId="575FC2F5" w:rsidR="00733DE6" w:rsidRPr="00C36D11" w:rsidRDefault="00733DE6" w:rsidP="00733DE6">
            <w:pPr>
              <w:pStyle w:val="CETBodytext"/>
              <w:rPr>
                <w:lang w:val="en-GB"/>
              </w:rPr>
            </w:pPr>
            <w:r w:rsidRPr="00C36D11">
              <w:rPr>
                <w:lang w:val="en-GB"/>
              </w:rPr>
              <w:t>€/kg</w:t>
            </w:r>
          </w:p>
        </w:tc>
      </w:tr>
      <w:tr w:rsidR="00733DE6" w:rsidRPr="00C36D11" w14:paraId="3D2E30D5" w14:textId="77777777" w:rsidTr="00483934">
        <w:tc>
          <w:tcPr>
            <w:tcW w:w="1530" w:type="dxa"/>
            <w:shd w:val="clear" w:color="auto" w:fill="FFFFFF"/>
            <w:vAlign w:val="center"/>
          </w:tcPr>
          <w:p w14:paraId="1FACB9C1" w14:textId="1A23F652" w:rsidR="00733DE6" w:rsidRPr="00C36D11" w:rsidRDefault="00733DE6" w:rsidP="00733DE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t>B</w:t>
            </w:r>
            <w:r w:rsidR="00E71138" w:rsidRPr="00C36D11">
              <w:t>oiler feed water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05EE0BB" w14:textId="7DF4DD9D" w:rsidR="00733DE6" w:rsidRPr="00C36D11" w:rsidRDefault="00733DE6" w:rsidP="00733DE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12E02D15" w14:textId="71B012D6" w:rsidR="00733DE6" w:rsidRPr="00C36D11" w:rsidRDefault="00733DE6" w:rsidP="00733DE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€/t</w:t>
            </w:r>
          </w:p>
        </w:tc>
      </w:tr>
      <w:tr w:rsidR="00733DE6" w:rsidRPr="00C36D11" w14:paraId="1165C679" w14:textId="77777777" w:rsidTr="00483934">
        <w:tc>
          <w:tcPr>
            <w:tcW w:w="1530" w:type="dxa"/>
            <w:shd w:val="clear" w:color="auto" w:fill="FFFFFF"/>
            <w:vAlign w:val="center"/>
          </w:tcPr>
          <w:p w14:paraId="301429AE" w14:textId="7D7FE0C8" w:rsidR="00733DE6" w:rsidRPr="00C36D11" w:rsidRDefault="00E71138" w:rsidP="00733DE6">
            <w:pPr>
              <w:pStyle w:val="CETBodytext"/>
              <w:ind w:right="-1"/>
            </w:pPr>
            <w:r w:rsidRPr="00C36D11">
              <w:t>C</w:t>
            </w:r>
            <w:r w:rsidR="00733DE6" w:rsidRPr="00C36D11">
              <w:t>ooling water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08FCAEF" w14:textId="66A911FB" w:rsidR="00733DE6" w:rsidRPr="00C36D11" w:rsidRDefault="00733DE6" w:rsidP="00733DE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7768FAAD" w14:textId="19D8F7FF" w:rsidR="00733DE6" w:rsidRPr="00C36D11" w:rsidRDefault="00733DE6" w:rsidP="00733DE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€/t</w:t>
            </w:r>
          </w:p>
        </w:tc>
      </w:tr>
      <w:tr w:rsidR="00733DE6" w:rsidRPr="00C36D11" w14:paraId="7B2F6D3E" w14:textId="77777777" w:rsidTr="00483934">
        <w:tc>
          <w:tcPr>
            <w:tcW w:w="1530" w:type="dxa"/>
            <w:shd w:val="clear" w:color="auto" w:fill="FFFFFF"/>
            <w:vAlign w:val="bottom"/>
          </w:tcPr>
          <w:p w14:paraId="087BBABF" w14:textId="4D82A0E6" w:rsidR="00733DE6" w:rsidRPr="00C36D11" w:rsidRDefault="00733DE6" w:rsidP="00733DE6">
            <w:pPr>
              <w:pStyle w:val="CETBodytext"/>
              <w:ind w:right="-1"/>
            </w:pPr>
            <w:r w:rsidRPr="00C36D11">
              <w:t>LP steam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DB7DA00" w14:textId="2B5E543F" w:rsidR="00733DE6" w:rsidRPr="00C36D11" w:rsidRDefault="00733DE6" w:rsidP="00733DE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0.012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6132F6B5" w14:textId="1C6E9CF9" w:rsidR="00733DE6" w:rsidRPr="00C36D11" w:rsidRDefault="00733DE6" w:rsidP="00733DE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€/kg</w:t>
            </w:r>
          </w:p>
        </w:tc>
      </w:tr>
      <w:tr w:rsidR="00733DE6" w:rsidRPr="00C36D11" w14:paraId="27128553" w14:textId="77777777" w:rsidTr="00483934">
        <w:tc>
          <w:tcPr>
            <w:tcW w:w="1530" w:type="dxa"/>
            <w:shd w:val="clear" w:color="auto" w:fill="FFFFFF"/>
            <w:vAlign w:val="bottom"/>
          </w:tcPr>
          <w:p w14:paraId="657EEE83" w14:textId="4905F32B" w:rsidR="00733DE6" w:rsidRPr="00C36D11" w:rsidRDefault="00733DE6" w:rsidP="00733DE6">
            <w:pPr>
              <w:pStyle w:val="CETBodytext"/>
              <w:ind w:right="-1"/>
            </w:pPr>
            <w:r w:rsidRPr="00C36D11">
              <w:t>MP steam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19115B2" w14:textId="55A606EB" w:rsidR="00733DE6" w:rsidRPr="00C36D11" w:rsidRDefault="00733DE6" w:rsidP="00733DE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0.00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45FA1C0A" w14:textId="69BD0D94" w:rsidR="00733DE6" w:rsidRPr="00C36D11" w:rsidRDefault="00733DE6" w:rsidP="00733DE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€/kg</w:t>
            </w:r>
          </w:p>
        </w:tc>
      </w:tr>
      <w:tr w:rsidR="00733DE6" w:rsidRPr="00C36D11" w14:paraId="308546BF" w14:textId="77777777" w:rsidTr="00483934">
        <w:tc>
          <w:tcPr>
            <w:tcW w:w="1530" w:type="dxa"/>
            <w:shd w:val="clear" w:color="auto" w:fill="FFFFFF"/>
            <w:vAlign w:val="bottom"/>
          </w:tcPr>
          <w:p w14:paraId="0C9184E4" w14:textId="7B0B85A0" w:rsidR="00733DE6" w:rsidRPr="00C36D11" w:rsidRDefault="00733DE6" w:rsidP="00733DE6">
            <w:pPr>
              <w:pStyle w:val="CETBodytext"/>
              <w:ind w:right="-1"/>
            </w:pPr>
            <w:r w:rsidRPr="00C36D11">
              <w:t>HP steam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5A3DA19" w14:textId="4A4B8502" w:rsidR="00733DE6" w:rsidRPr="00C36D11" w:rsidRDefault="00733DE6" w:rsidP="00733DE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0.019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39F2BE8F" w14:textId="3354AF7F" w:rsidR="00733DE6" w:rsidRPr="00C36D11" w:rsidRDefault="00733DE6" w:rsidP="00733DE6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36D11">
              <w:rPr>
                <w:lang w:val="en-GB"/>
              </w:rPr>
              <w:t>€/kg</w:t>
            </w:r>
          </w:p>
        </w:tc>
      </w:tr>
      <w:tr w:rsidR="00FB2F76" w:rsidRPr="00C36D11" w14:paraId="7AC638B7" w14:textId="77777777" w:rsidTr="00483934">
        <w:tc>
          <w:tcPr>
            <w:tcW w:w="1530" w:type="dxa"/>
            <w:shd w:val="clear" w:color="auto" w:fill="FFFFFF"/>
            <w:vAlign w:val="bottom"/>
          </w:tcPr>
          <w:p w14:paraId="0128599C" w14:textId="41CF5FD7" w:rsidR="00FB2F76" w:rsidRPr="00C36D11" w:rsidRDefault="00FB2F76" w:rsidP="00FB2F76">
            <w:pPr>
              <w:pStyle w:val="CETBodytext"/>
              <w:ind w:right="-1"/>
            </w:pPr>
            <w:r w:rsidRPr="00C36D11">
              <w:t>H</w:t>
            </w:r>
            <w:r w:rsidRPr="0044103F">
              <w:rPr>
                <w:vertAlign w:val="subscript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40262A2" w14:textId="4B9C82A9" w:rsidR="00FB2F76" w:rsidRPr="00C36D11" w:rsidRDefault="00FB2F76" w:rsidP="00FB2F76">
            <w:pPr>
              <w:pStyle w:val="CETBodytext"/>
              <w:ind w:right="-1"/>
              <w:rPr>
                <w:lang w:val="en-GB"/>
              </w:rPr>
            </w:pPr>
            <w:r w:rsidRPr="00C36D11">
              <w:rPr>
                <w:lang w:val="en-GB"/>
              </w:rPr>
              <w:t>1.5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6A8E93BA" w14:textId="4E4D7924" w:rsidR="00FB2F76" w:rsidRPr="00C36D11" w:rsidRDefault="00FB2F76" w:rsidP="00FB2F76">
            <w:pPr>
              <w:pStyle w:val="CETBodytext"/>
              <w:ind w:right="-1"/>
              <w:rPr>
                <w:lang w:val="en-GB"/>
              </w:rPr>
            </w:pPr>
            <w:r w:rsidRPr="00C36D11">
              <w:rPr>
                <w:lang w:val="en-GB"/>
              </w:rPr>
              <w:t>€/kg</w:t>
            </w:r>
          </w:p>
        </w:tc>
      </w:tr>
      <w:tr w:rsidR="00FB2F76" w:rsidRPr="00C36D11" w14:paraId="31F320F2" w14:textId="77777777" w:rsidTr="00483934">
        <w:tc>
          <w:tcPr>
            <w:tcW w:w="1530" w:type="dxa"/>
            <w:shd w:val="clear" w:color="auto" w:fill="FFFFFF"/>
            <w:vAlign w:val="bottom"/>
          </w:tcPr>
          <w:p w14:paraId="275918E8" w14:textId="0D2D3B90" w:rsidR="00FB2F76" w:rsidRPr="00C36D11" w:rsidRDefault="00FB2F76" w:rsidP="00FB2F76">
            <w:pPr>
              <w:pStyle w:val="CETBodytext"/>
              <w:ind w:right="-1"/>
            </w:pPr>
            <w:r w:rsidRPr="00C36D11">
              <w:t>Electrical power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01D335B" w14:textId="1B52C2DB" w:rsidR="00FB2F76" w:rsidRPr="00C36D11" w:rsidRDefault="00FB2F76" w:rsidP="00FB2F76">
            <w:pPr>
              <w:pStyle w:val="CETBodytext"/>
              <w:ind w:right="-1"/>
              <w:rPr>
                <w:lang w:val="en-GB"/>
              </w:rPr>
            </w:pPr>
            <w:r w:rsidRPr="00C36D11">
              <w:rPr>
                <w:lang w:val="en-GB"/>
              </w:rPr>
              <w:t>0.093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1B47F0F1" w14:textId="510A003C" w:rsidR="00FB2F76" w:rsidRPr="00C36D11" w:rsidRDefault="00FB2F76" w:rsidP="00FB2F76">
            <w:pPr>
              <w:pStyle w:val="CETBodytext"/>
              <w:ind w:right="-1"/>
              <w:rPr>
                <w:lang w:val="en-GB"/>
              </w:rPr>
            </w:pPr>
            <w:r w:rsidRPr="00C36D11">
              <w:rPr>
                <w:lang w:val="en-GB"/>
              </w:rPr>
              <w:t>€/kWh</w:t>
            </w:r>
          </w:p>
        </w:tc>
      </w:tr>
    </w:tbl>
    <w:p w14:paraId="04FE469A" w14:textId="77777777" w:rsidR="00F87607" w:rsidRPr="00C36D11" w:rsidRDefault="00F87607" w:rsidP="00320B19">
      <w:pPr>
        <w:pStyle w:val="CETBodytext"/>
      </w:pPr>
    </w:p>
    <w:p w14:paraId="2E5F83F2" w14:textId="3B162104" w:rsidR="00C57E06" w:rsidRPr="00C36D11" w:rsidRDefault="00F87607" w:rsidP="00C57E06">
      <w:pPr>
        <w:pStyle w:val="CETBodytext"/>
      </w:pPr>
      <w:r w:rsidRPr="00C36D11">
        <w:fldChar w:fldCharType="begin"/>
      </w:r>
      <w:r w:rsidRPr="00C36D11">
        <w:instrText xml:space="preserve"> REF _Ref131702282 \h </w:instrText>
      </w:r>
      <w:r w:rsidR="00C36D11">
        <w:instrText xml:space="preserve"> \* MERGEFORMAT </w:instrText>
      </w:r>
      <w:r w:rsidRPr="00C36D11">
        <w:fldChar w:fldCharType="separate"/>
      </w:r>
      <w:r w:rsidRPr="00C36D11">
        <w:t xml:space="preserve">Table </w:t>
      </w:r>
      <w:r w:rsidRPr="00C36D11">
        <w:rPr>
          <w:noProof/>
        </w:rPr>
        <w:t>5</w:t>
      </w:r>
      <w:r w:rsidRPr="00C36D11">
        <w:fldChar w:fldCharType="end"/>
      </w:r>
      <w:r w:rsidRPr="00C36D11">
        <w:t xml:space="preserve"> </w:t>
      </w:r>
      <w:r w:rsidR="00C57E06" w:rsidRPr="00C36D11">
        <w:t>compares the process parameters and the utility consumption of a real plant operation (i.e. without the help of DPM) with the same parameters that can be obtained by optimizing the operation through DPM.</w:t>
      </w:r>
      <w:r w:rsidR="00F17D9B">
        <w:t xml:space="preserve"> Results are based on 8600 hours of plant operation per year.  </w:t>
      </w:r>
    </w:p>
    <w:p w14:paraId="6717D3AF" w14:textId="00B44276" w:rsidR="00925169" w:rsidRPr="00C36D11" w:rsidRDefault="00925169" w:rsidP="00482103">
      <w:pPr>
        <w:pStyle w:val="CETTabletitle"/>
        <w:spacing w:before="80"/>
      </w:pPr>
      <w:bookmarkStart w:id="4" w:name="_Ref131702282"/>
      <w:r w:rsidRPr="00C36D11">
        <w:t xml:space="preserve">Table </w:t>
      </w:r>
      <w:r w:rsidRPr="00C36D11">
        <w:fldChar w:fldCharType="begin"/>
      </w:r>
      <w:r w:rsidRPr="00C36D11">
        <w:instrText xml:space="preserve"> SEQ Table \* ARABIC </w:instrText>
      </w:r>
      <w:r w:rsidRPr="00C36D11">
        <w:fldChar w:fldCharType="separate"/>
      </w:r>
      <w:r w:rsidRPr="00C36D11">
        <w:t>5</w:t>
      </w:r>
      <w:r w:rsidRPr="00C36D11">
        <w:fldChar w:fldCharType="end"/>
      </w:r>
      <w:bookmarkEnd w:id="4"/>
      <w:r w:rsidRPr="00C36D11">
        <w:t xml:space="preserve">: Utility </w:t>
      </w:r>
      <w:r w:rsidR="00466CB9" w:rsidRPr="00C36D11">
        <w:t>c</w:t>
      </w:r>
      <w:r w:rsidRPr="00C36D11">
        <w:t xml:space="preserve">onsumption, SRU </w:t>
      </w:r>
      <w:r w:rsidR="00466CB9" w:rsidRPr="00C36D11">
        <w:t>c</w:t>
      </w:r>
      <w:r w:rsidRPr="00C36D11">
        <w:t xml:space="preserve">ase </w:t>
      </w:r>
      <w:r w:rsidR="00466CB9" w:rsidRPr="00C36D11">
        <w:t>s</w:t>
      </w:r>
      <w:r w:rsidRPr="00C36D11">
        <w:t>tudy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9"/>
        <w:gridCol w:w="901"/>
        <w:gridCol w:w="1002"/>
        <w:gridCol w:w="1002"/>
      </w:tblGrid>
      <w:tr w:rsidR="00FF02D6" w:rsidRPr="00C36D11" w14:paraId="49F3DE11" w14:textId="77777777" w:rsidTr="00E2103C">
        <w:tc>
          <w:tcPr>
            <w:tcW w:w="197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bottom"/>
          </w:tcPr>
          <w:p w14:paraId="21586FE4" w14:textId="77777777" w:rsidR="00FF02D6" w:rsidRPr="00C36D11" w:rsidRDefault="00FF02D6" w:rsidP="00FF02D6">
            <w:pPr>
              <w:pStyle w:val="CETBodytext"/>
            </w:pPr>
            <w:r w:rsidRPr="00C36D11">
              <w:t> </w:t>
            </w:r>
          </w:p>
        </w:tc>
        <w:tc>
          <w:tcPr>
            <w:tcW w:w="90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8C92FCE" w14:textId="77777777" w:rsidR="00FF02D6" w:rsidRPr="00C36D11" w:rsidRDefault="00FF02D6" w:rsidP="00FF02D6">
            <w:pPr>
              <w:pStyle w:val="CETBodytext"/>
            </w:pPr>
            <w:r w:rsidRPr="00C36D11">
              <w:t>UoM</w:t>
            </w:r>
          </w:p>
        </w:tc>
        <w:tc>
          <w:tcPr>
            <w:tcW w:w="100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93BD198" w14:textId="2043AB4C" w:rsidR="00FF02D6" w:rsidRPr="00C36D11" w:rsidRDefault="00FF02D6" w:rsidP="00FF02D6">
            <w:pPr>
              <w:pStyle w:val="CETBodytext"/>
            </w:pPr>
            <w:r w:rsidRPr="00C36D11">
              <w:t>w/o DPM</w:t>
            </w:r>
          </w:p>
        </w:tc>
        <w:tc>
          <w:tcPr>
            <w:tcW w:w="100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6E4934D" w14:textId="6888F9E8" w:rsidR="00FF02D6" w:rsidRPr="00C36D11" w:rsidRDefault="00FF02D6" w:rsidP="00FF02D6">
            <w:pPr>
              <w:pStyle w:val="CETBodytext"/>
            </w:pPr>
            <w:r w:rsidRPr="00C36D11">
              <w:rPr>
                <w:lang w:val="en-GB"/>
              </w:rPr>
              <w:t>with DPM</w:t>
            </w:r>
          </w:p>
        </w:tc>
      </w:tr>
      <w:tr w:rsidR="008B5923" w:rsidRPr="00C36D11" w14:paraId="350B8278" w14:textId="77777777" w:rsidTr="00E2103C">
        <w:tc>
          <w:tcPr>
            <w:tcW w:w="1979" w:type="dxa"/>
            <w:shd w:val="clear" w:color="auto" w:fill="FFFFFF"/>
            <w:vAlign w:val="center"/>
          </w:tcPr>
          <w:p w14:paraId="2B9B1E00" w14:textId="6629F980" w:rsidR="008B5923" w:rsidRPr="00C36D11" w:rsidRDefault="008B5923" w:rsidP="008B5923">
            <w:pPr>
              <w:pStyle w:val="CETBodytext"/>
            </w:pPr>
            <w:r w:rsidRPr="00C36D11">
              <w:t>O</w:t>
            </w:r>
            <w:r w:rsidRPr="00C36D11">
              <w:rPr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8DAA815" w14:textId="3550FAC4" w:rsidR="008B5923" w:rsidRPr="00C36D11" w:rsidRDefault="008B5923" w:rsidP="008B5923">
            <w:pPr>
              <w:pStyle w:val="CETBodytext"/>
            </w:pPr>
            <w:r w:rsidRPr="00C36D11">
              <w:t>Nm</w:t>
            </w:r>
            <w:r w:rsidRPr="00C36D11">
              <w:rPr>
                <w:vertAlign w:val="superscript"/>
              </w:rPr>
              <w:t>3</w:t>
            </w:r>
            <w:r w:rsidRPr="00C36D11">
              <w:t>/h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76F35C5" w14:textId="662D1742" w:rsidR="008B5923" w:rsidRPr="00C36D11" w:rsidRDefault="008B5923" w:rsidP="00F9781C">
            <w:pPr>
              <w:pStyle w:val="CETBodytext"/>
              <w:jc w:val="right"/>
            </w:pPr>
            <w:r w:rsidRPr="00C36D11">
              <w:t>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06EC86C" w14:textId="7F3AD775" w:rsidR="008B5923" w:rsidRPr="00C36D11" w:rsidRDefault="008B5923" w:rsidP="00F9781C">
            <w:pPr>
              <w:pStyle w:val="CETBodytext"/>
              <w:jc w:val="right"/>
            </w:pPr>
            <w:r w:rsidRPr="00C36D11">
              <w:t>0</w:t>
            </w:r>
          </w:p>
        </w:tc>
      </w:tr>
      <w:tr w:rsidR="008B5923" w:rsidRPr="00C36D11" w14:paraId="0EEE5EF4" w14:textId="77777777" w:rsidTr="00E2103C">
        <w:tc>
          <w:tcPr>
            <w:tcW w:w="1979" w:type="dxa"/>
            <w:shd w:val="clear" w:color="auto" w:fill="FFFFFF"/>
            <w:vAlign w:val="bottom"/>
          </w:tcPr>
          <w:p w14:paraId="15990805" w14:textId="39CDC5FD" w:rsidR="008B5923" w:rsidRPr="00C36D11" w:rsidRDefault="008B5923" w:rsidP="008B5923">
            <w:pPr>
              <w:pStyle w:val="CETBodytext"/>
            </w:pPr>
            <w:r w:rsidRPr="00C36D11">
              <w:t>Fuel gas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2AD55F4D" w14:textId="4B9BD1CB" w:rsidR="008B5923" w:rsidRPr="00C36D11" w:rsidRDefault="008B5923" w:rsidP="008B5923">
            <w:pPr>
              <w:pStyle w:val="CETBodytext"/>
            </w:pPr>
            <w:r w:rsidRPr="00C36D11">
              <w:t>kg/h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6B5E6FF" w14:textId="60398513" w:rsidR="008B5923" w:rsidRPr="00C36D11" w:rsidRDefault="00C730C2" w:rsidP="00F9781C">
            <w:pPr>
              <w:pStyle w:val="CETBodytext"/>
              <w:jc w:val="right"/>
            </w:pPr>
            <w:r>
              <w:t>296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B6BBAEA" w14:textId="0815AE7C" w:rsidR="008B5923" w:rsidRPr="00C36D11" w:rsidRDefault="00123E69" w:rsidP="00F9781C">
            <w:pPr>
              <w:pStyle w:val="CETBodytext"/>
              <w:jc w:val="right"/>
            </w:pPr>
            <w:r>
              <w:t>307</w:t>
            </w:r>
          </w:p>
        </w:tc>
      </w:tr>
      <w:tr w:rsidR="008B5923" w:rsidRPr="009C1CFA" w14:paraId="70F09E3A" w14:textId="77777777" w:rsidTr="00E2103C">
        <w:tc>
          <w:tcPr>
            <w:tcW w:w="1979" w:type="dxa"/>
            <w:shd w:val="clear" w:color="auto" w:fill="FFFFFF"/>
            <w:vAlign w:val="center"/>
          </w:tcPr>
          <w:p w14:paraId="69BD761A" w14:textId="0C3C6433" w:rsidR="008B5923" w:rsidRPr="00C36D11" w:rsidRDefault="00466CB9" w:rsidP="008B5923">
            <w:pPr>
              <w:pStyle w:val="CETBodytext"/>
            </w:pPr>
            <w:r w:rsidRPr="00C36D11">
              <w:t>Boiler feed water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2468BDE1" w14:textId="573D882E" w:rsidR="008B5923" w:rsidRPr="00C36D11" w:rsidRDefault="008B5923" w:rsidP="008B5923">
            <w:pPr>
              <w:pStyle w:val="CETBodytext"/>
            </w:pPr>
            <w:r w:rsidRPr="00C36D11">
              <w:t>t/h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14932EF" w14:textId="48C8B935" w:rsidR="008B5923" w:rsidRPr="00D209BA" w:rsidRDefault="00EE5FD9" w:rsidP="00F9781C">
            <w:pPr>
              <w:pStyle w:val="CETBodytext"/>
              <w:jc w:val="right"/>
            </w:pPr>
            <w:r w:rsidRPr="00D209BA">
              <w:t>27.9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033DEA1" w14:textId="7DB480B3" w:rsidR="008B5923" w:rsidRPr="00D209BA" w:rsidRDefault="00EE5FD9" w:rsidP="00F9781C">
            <w:pPr>
              <w:pStyle w:val="CETBodytext"/>
              <w:jc w:val="right"/>
            </w:pPr>
            <w:r w:rsidRPr="00D209BA">
              <w:t>27.3</w:t>
            </w:r>
          </w:p>
        </w:tc>
      </w:tr>
      <w:tr w:rsidR="008B5923" w:rsidRPr="00C36D11" w14:paraId="0A5F61CD" w14:textId="77777777" w:rsidTr="00E2103C">
        <w:tc>
          <w:tcPr>
            <w:tcW w:w="1979" w:type="dxa"/>
            <w:shd w:val="clear" w:color="auto" w:fill="FFFFFF"/>
            <w:vAlign w:val="center"/>
          </w:tcPr>
          <w:p w14:paraId="59F30BCF" w14:textId="105F9220" w:rsidR="008B5923" w:rsidRPr="00C36D11" w:rsidRDefault="00466CB9" w:rsidP="008B5923">
            <w:pPr>
              <w:pStyle w:val="CETBodytext"/>
            </w:pPr>
            <w:r w:rsidRPr="00C36D11">
              <w:t>C</w:t>
            </w:r>
            <w:r w:rsidR="008B5923" w:rsidRPr="00C36D11">
              <w:t>ooling water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5C18DE09" w14:textId="2E80E4E1" w:rsidR="008B5923" w:rsidRPr="00C36D11" w:rsidRDefault="008B5923" w:rsidP="008B5923">
            <w:pPr>
              <w:pStyle w:val="CETBodytext"/>
            </w:pPr>
            <w:r w:rsidRPr="00C36D11">
              <w:t>t/h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10AF74E" w14:textId="662972DA" w:rsidR="008B5923" w:rsidRPr="00C36D11" w:rsidRDefault="001E66D9" w:rsidP="00F9781C">
            <w:pPr>
              <w:pStyle w:val="CETBodytext"/>
              <w:jc w:val="right"/>
            </w:pPr>
            <w:r>
              <w:t>482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CBE44B9" w14:textId="5F2802F7" w:rsidR="008B5923" w:rsidRPr="00C36D11" w:rsidRDefault="001E66D9" w:rsidP="00F9781C">
            <w:pPr>
              <w:pStyle w:val="CETBodytext"/>
              <w:jc w:val="right"/>
            </w:pPr>
            <w:r>
              <w:t>482</w:t>
            </w:r>
          </w:p>
        </w:tc>
      </w:tr>
      <w:tr w:rsidR="008B5923" w:rsidRPr="00C36D11" w14:paraId="3C80D8B7" w14:textId="77777777" w:rsidTr="00E2103C">
        <w:tc>
          <w:tcPr>
            <w:tcW w:w="1979" w:type="dxa"/>
            <w:shd w:val="clear" w:color="auto" w:fill="FFFFFF"/>
            <w:vAlign w:val="bottom"/>
          </w:tcPr>
          <w:p w14:paraId="08379ADE" w14:textId="1714CF25" w:rsidR="008B5923" w:rsidRPr="00C36D11" w:rsidRDefault="00F9781C" w:rsidP="008B5923">
            <w:pPr>
              <w:pStyle w:val="CETBodytext"/>
            </w:pPr>
            <w:r w:rsidRPr="00C36D11">
              <w:t xml:space="preserve">Export </w:t>
            </w:r>
            <w:r w:rsidR="008B5923" w:rsidRPr="00C36D11">
              <w:t>LP steam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583CDC43" w14:textId="4FF9A38B" w:rsidR="008B5923" w:rsidRPr="00C36D11" w:rsidRDefault="008B5923" w:rsidP="008B5923">
            <w:pPr>
              <w:pStyle w:val="CETBodytext"/>
            </w:pPr>
            <w:r w:rsidRPr="00C36D11">
              <w:t>kg/h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1DAD739" w14:textId="10BA5C4D" w:rsidR="008B5923" w:rsidRPr="00C36D11" w:rsidRDefault="009C1CFA" w:rsidP="00F9781C">
            <w:pPr>
              <w:pStyle w:val="CETBodytext"/>
              <w:jc w:val="right"/>
            </w:pPr>
            <w:r>
              <w:t>7614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37F7A3A" w14:textId="5873A075" w:rsidR="008B5923" w:rsidRPr="00C36D11" w:rsidRDefault="009C1CFA" w:rsidP="00F9781C">
            <w:pPr>
              <w:pStyle w:val="CETBodytext"/>
              <w:jc w:val="right"/>
            </w:pPr>
            <w:r>
              <w:t>7031</w:t>
            </w:r>
          </w:p>
        </w:tc>
      </w:tr>
      <w:tr w:rsidR="008B5923" w:rsidRPr="00C36D11" w14:paraId="7BE2F206" w14:textId="77777777" w:rsidTr="00E2103C">
        <w:tc>
          <w:tcPr>
            <w:tcW w:w="1979" w:type="dxa"/>
            <w:shd w:val="clear" w:color="auto" w:fill="FFFFFF"/>
            <w:vAlign w:val="bottom"/>
          </w:tcPr>
          <w:p w14:paraId="3606AF8F" w14:textId="7663E378" w:rsidR="008B5923" w:rsidRPr="00C36D11" w:rsidRDefault="00F9781C" w:rsidP="008B5923">
            <w:pPr>
              <w:pStyle w:val="CETBodytext"/>
            </w:pPr>
            <w:r w:rsidRPr="00C36D11">
              <w:t xml:space="preserve">Export </w:t>
            </w:r>
            <w:r w:rsidR="008B5923" w:rsidRPr="00C36D11">
              <w:t>MP steam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3989DAF0" w14:textId="41E8ABC6" w:rsidR="008B5923" w:rsidRPr="00C36D11" w:rsidRDefault="008B5923" w:rsidP="008B5923">
            <w:pPr>
              <w:pStyle w:val="CETBodytext"/>
            </w:pPr>
            <w:r w:rsidRPr="00C36D11">
              <w:t>kg/h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8A108CB" w14:textId="78A6C73E" w:rsidR="008B5923" w:rsidRPr="00C36D11" w:rsidRDefault="008B5923" w:rsidP="00F9781C">
            <w:pPr>
              <w:pStyle w:val="CETBodytext"/>
              <w:jc w:val="right"/>
            </w:pPr>
            <w:r w:rsidRPr="00C36D11">
              <w:t>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4DB4B41" w14:textId="581D5731" w:rsidR="008B5923" w:rsidRPr="00C36D11" w:rsidRDefault="008B5923" w:rsidP="00F9781C">
            <w:pPr>
              <w:pStyle w:val="CETBodytext"/>
              <w:jc w:val="right"/>
            </w:pPr>
            <w:r w:rsidRPr="00C36D11">
              <w:t>0</w:t>
            </w:r>
          </w:p>
        </w:tc>
      </w:tr>
      <w:tr w:rsidR="008B5923" w:rsidRPr="00C36D11" w14:paraId="744A7C5E" w14:textId="77777777" w:rsidTr="00E2103C">
        <w:tc>
          <w:tcPr>
            <w:tcW w:w="1979" w:type="dxa"/>
            <w:shd w:val="clear" w:color="auto" w:fill="FFFFFF"/>
            <w:vAlign w:val="bottom"/>
          </w:tcPr>
          <w:p w14:paraId="4C6BC238" w14:textId="0325E640" w:rsidR="008B5923" w:rsidRPr="00C36D11" w:rsidRDefault="00F9781C" w:rsidP="008B5923">
            <w:pPr>
              <w:pStyle w:val="CETBodytext"/>
            </w:pPr>
            <w:r w:rsidRPr="00C36D11">
              <w:t xml:space="preserve">Export </w:t>
            </w:r>
            <w:r w:rsidR="008B5923" w:rsidRPr="00C36D11">
              <w:t>HP steam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5D06C9DD" w14:textId="4F9A7FD9" w:rsidR="008B5923" w:rsidRPr="00C36D11" w:rsidRDefault="008B5923" w:rsidP="008B5923">
            <w:pPr>
              <w:pStyle w:val="CETBodytext"/>
            </w:pPr>
            <w:r w:rsidRPr="00C36D11">
              <w:t>kg/h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87B1639" w14:textId="426A44B6" w:rsidR="008B5923" w:rsidRPr="00C36D11" w:rsidRDefault="00817082" w:rsidP="00F9781C">
            <w:pPr>
              <w:pStyle w:val="CETBodytext"/>
              <w:jc w:val="right"/>
            </w:pPr>
            <w:r>
              <w:t>17258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5107AF9" w14:textId="01DADC34" w:rsidR="008B5923" w:rsidRPr="00C36D11" w:rsidRDefault="00817082" w:rsidP="00F9781C">
            <w:pPr>
              <w:pStyle w:val="CETBodytext"/>
              <w:jc w:val="right"/>
            </w:pPr>
            <w:r>
              <w:t>17509</w:t>
            </w:r>
          </w:p>
        </w:tc>
      </w:tr>
      <w:tr w:rsidR="008B5923" w:rsidRPr="00C36D11" w14:paraId="077EE472" w14:textId="77777777" w:rsidTr="00E2103C">
        <w:tc>
          <w:tcPr>
            <w:tcW w:w="1979" w:type="dxa"/>
            <w:shd w:val="clear" w:color="auto" w:fill="FFFFFF"/>
            <w:vAlign w:val="bottom"/>
          </w:tcPr>
          <w:p w14:paraId="60D2A32A" w14:textId="583665E4" w:rsidR="008B5923" w:rsidRPr="00C36D11" w:rsidRDefault="008B5923" w:rsidP="008B5923">
            <w:pPr>
              <w:pStyle w:val="CETBodytext"/>
            </w:pPr>
            <w:r w:rsidRPr="00C36D11">
              <w:t>H</w:t>
            </w:r>
            <w:r w:rsidRPr="00C36D11">
              <w:rPr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0BCA6398" w14:textId="39EFD3A4" w:rsidR="008B5923" w:rsidRPr="00C36D11" w:rsidRDefault="008B5923" w:rsidP="008B5923">
            <w:pPr>
              <w:pStyle w:val="CETBodytext"/>
            </w:pPr>
            <w:r w:rsidRPr="00C36D11">
              <w:t>kg/h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E5B6FD2" w14:textId="443E6173" w:rsidR="008B5923" w:rsidRPr="00C36D11" w:rsidRDefault="00B62A21" w:rsidP="00F9781C">
            <w:pPr>
              <w:pStyle w:val="CETBodytext"/>
              <w:jc w:val="right"/>
            </w:pPr>
            <w:r>
              <w:t>24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4DDAE92" w14:textId="282D5937" w:rsidR="008B5923" w:rsidRPr="00C36D11" w:rsidRDefault="00B62A21" w:rsidP="00F9781C">
            <w:pPr>
              <w:pStyle w:val="CETBodytext"/>
              <w:jc w:val="right"/>
            </w:pPr>
            <w:r>
              <w:t>6</w:t>
            </w:r>
          </w:p>
        </w:tc>
      </w:tr>
      <w:tr w:rsidR="008B5923" w:rsidRPr="00C36D11" w14:paraId="1B799F30" w14:textId="77777777" w:rsidTr="00E2103C">
        <w:tc>
          <w:tcPr>
            <w:tcW w:w="1979" w:type="dxa"/>
            <w:shd w:val="clear" w:color="auto" w:fill="FFFFFF"/>
            <w:vAlign w:val="bottom"/>
          </w:tcPr>
          <w:p w14:paraId="4CF36A79" w14:textId="24F7B10C" w:rsidR="008B5923" w:rsidRPr="00C36D11" w:rsidRDefault="008B5923" w:rsidP="008B5923">
            <w:pPr>
              <w:pStyle w:val="CETBodytext"/>
            </w:pPr>
            <w:r w:rsidRPr="00C36D11">
              <w:t>Electrical power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31488331" w14:textId="4D4FEFE7" w:rsidR="008B5923" w:rsidRPr="00C36D11" w:rsidRDefault="008B5923" w:rsidP="008B5923">
            <w:pPr>
              <w:pStyle w:val="CETBodytext"/>
            </w:pPr>
            <w:r w:rsidRPr="00C36D11">
              <w:t>kWh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5DDC378" w14:textId="6EC454B1" w:rsidR="008B5923" w:rsidRPr="00C36D11" w:rsidRDefault="00D41086" w:rsidP="00F9781C">
            <w:pPr>
              <w:pStyle w:val="CETBodytext"/>
              <w:jc w:val="right"/>
            </w:pPr>
            <w:r>
              <w:t>782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7A0B62C" w14:textId="7CF1EF9A" w:rsidR="008B5923" w:rsidRPr="00C36D11" w:rsidRDefault="00D41086" w:rsidP="00F9781C">
            <w:pPr>
              <w:pStyle w:val="CETBodytext"/>
              <w:jc w:val="right"/>
            </w:pPr>
            <w:r>
              <w:t>530</w:t>
            </w:r>
          </w:p>
        </w:tc>
      </w:tr>
    </w:tbl>
    <w:p w14:paraId="70931543" w14:textId="55A38ED8" w:rsidR="008B5923" w:rsidRPr="00C36D11" w:rsidRDefault="008B5923" w:rsidP="00320B19">
      <w:pPr>
        <w:pStyle w:val="CETBodytext"/>
      </w:pPr>
    </w:p>
    <w:p w14:paraId="7EABD6B2" w14:textId="76A55BAB" w:rsidR="008B5923" w:rsidRPr="00B542C6" w:rsidRDefault="005B48BD" w:rsidP="00320B19">
      <w:pPr>
        <w:pStyle w:val="CETBodytext"/>
        <w:rPr>
          <w:b/>
          <w:bCs/>
          <w:i/>
          <w:iCs/>
        </w:rPr>
      </w:pPr>
      <w:r w:rsidRPr="00B542C6">
        <w:rPr>
          <w:b/>
          <w:bCs/>
          <w:i/>
          <w:iCs/>
        </w:rPr>
        <w:t>The results of the case study led to a</w:t>
      </w:r>
      <w:r w:rsidR="000843B3">
        <w:rPr>
          <w:b/>
          <w:bCs/>
          <w:i/>
          <w:iCs/>
        </w:rPr>
        <w:t>n estimated</w:t>
      </w:r>
      <w:r w:rsidRPr="00B542C6">
        <w:rPr>
          <w:b/>
          <w:bCs/>
          <w:i/>
          <w:iCs/>
        </w:rPr>
        <w:t xml:space="preserve"> saving on </w:t>
      </w:r>
      <w:r w:rsidR="0044103F">
        <w:rPr>
          <w:b/>
          <w:bCs/>
          <w:i/>
          <w:iCs/>
        </w:rPr>
        <w:t>OPEX</w:t>
      </w:r>
      <w:r w:rsidRPr="00B542C6">
        <w:rPr>
          <w:b/>
          <w:bCs/>
          <w:i/>
          <w:iCs/>
        </w:rPr>
        <w:t xml:space="preserve"> up to </w:t>
      </w:r>
      <w:r w:rsidR="00C34999">
        <w:rPr>
          <w:b/>
          <w:bCs/>
          <w:i/>
          <w:iCs/>
        </w:rPr>
        <w:t>385</w:t>
      </w:r>
      <w:r w:rsidR="00986B2C">
        <w:rPr>
          <w:b/>
          <w:bCs/>
          <w:i/>
          <w:iCs/>
        </w:rPr>
        <w:t>,</w:t>
      </w:r>
      <w:r w:rsidR="00C51905" w:rsidRPr="00B542C6">
        <w:rPr>
          <w:b/>
          <w:bCs/>
          <w:i/>
          <w:iCs/>
        </w:rPr>
        <w:t xml:space="preserve">000 </w:t>
      </w:r>
      <w:r w:rsidRPr="00B542C6">
        <w:rPr>
          <w:b/>
          <w:bCs/>
          <w:i/>
          <w:iCs/>
          <w:lang w:val="en-GB"/>
        </w:rPr>
        <w:t>€</w:t>
      </w:r>
      <w:r w:rsidR="00C51905" w:rsidRPr="00B542C6">
        <w:rPr>
          <w:b/>
          <w:bCs/>
          <w:i/>
          <w:iCs/>
        </w:rPr>
        <w:t>/year</w:t>
      </w:r>
      <w:r w:rsidR="00277FE1" w:rsidRPr="00B542C6">
        <w:rPr>
          <w:b/>
          <w:bCs/>
          <w:i/>
          <w:iCs/>
        </w:rPr>
        <w:t xml:space="preserve"> adopting DPM.</w:t>
      </w:r>
    </w:p>
    <w:p w14:paraId="3FC8D620" w14:textId="6BB5D0D9" w:rsidR="00516ED4" w:rsidRPr="00C36D11" w:rsidRDefault="00516ED4" w:rsidP="00986B2C">
      <w:pPr>
        <w:pStyle w:val="CETheadingx"/>
      </w:pPr>
      <w:r w:rsidRPr="00C36D11">
        <w:lastRenderedPageBreak/>
        <w:t>Carbon footprint reduction</w:t>
      </w:r>
    </w:p>
    <w:p w14:paraId="7A32B0D8" w14:textId="529D3439" w:rsidR="00C87CCE" w:rsidRPr="00C36D11" w:rsidRDefault="00C87CCE" w:rsidP="00C87CCE">
      <w:pPr>
        <w:pStyle w:val="CETBodytext"/>
      </w:pPr>
      <w:r w:rsidRPr="00C36D11">
        <w:t xml:space="preserve">The DPM </w:t>
      </w:r>
      <w:r w:rsidR="007129C3" w:rsidRPr="00C36D11">
        <w:t xml:space="preserve">also </w:t>
      </w:r>
      <w:r w:rsidR="002873B2">
        <w:t xml:space="preserve">contributes to reducing the </w:t>
      </w:r>
      <w:r w:rsidRPr="00C36D11">
        <w:t xml:space="preserve">carbon footprint </w:t>
      </w:r>
      <w:r w:rsidR="007129C3" w:rsidRPr="00C36D11">
        <w:t xml:space="preserve">of plants based on KT licensed technologies </w:t>
      </w:r>
      <w:r w:rsidRPr="00C36D11">
        <w:t xml:space="preserve">since it allows </w:t>
      </w:r>
      <w:r w:rsidR="002873B2">
        <w:t>optimization of</w:t>
      </w:r>
      <w:r w:rsidRPr="00C36D11">
        <w:t>:</w:t>
      </w:r>
    </w:p>
    <w:p w14:paraId="05B7557E" w14:textId="36ACCF16" w:rsidR="00C87CCE" w:rsidRPr="00C36D11" w:rsidRDefault="00C87CCE" w:rsidP="00C87CCE">
      <w:pPr>
        <w:pStyle w:val="CETnumberingbullets"/>
      </w:pPr>
      <w:r w:rsidRPr="00C36D11">
        <w:t>the consumption of natural gas and of makeup fuel gas (for HPU)</w:t>
      </w:r>
      <w:r w:rsidR="005F73DA">
        <w:t>;</w:t>
      </w:r>
    </w:p>
    <w:p w14:paraId="65578289" w14:textId="1E91467A" w:rsidR="00C87CCE" w:rsidRPr="00C36D11" w:rsidRDefault="00C87CCE" w:rsidP="00C87CCE">
      <w:pPr>
        <w:pStyle w:val="CETnumberingbullets"/>
      </w:pPr>
      <w:r w:rsidRPr="00C36D11">
        <w:t>the consumption of fuel gas and hydrogen (for SRU)</w:t>
      </w:r>
      <w:r w:rsidR="005F73DA">
        <w:t>;</w:t>
      </w:r>
    </w:p>
    <w:p w14:paraId="6937B1B6" w14:textId="464974BC" w:rsidR="00C87CCE" w:rsidRPr="00C36D11" w:rsidRDefault="00C87CCE" w:rsidP="00C87CCE">
      <w:pPr>
        <w:pStyle w:val="CETnumberingbullets"/>
      </w:pPr>
      <w:r w:rsidRPr="00C36D11">
        <w:t>the consumption of electricity</w:t>
      </w:r>
      <w:r w:rsidR="005F73DA">
        <w:t>;</w:t>
      </w:r>
    </w:p>
    <w:p w14:paraId="18A97B32" w14:textId="29EC56EF" w:rsidR="00C87CCE" w:rsidRPr="00C36D11" w:rsidRDefault="00C87CCE" w:rsidP="00C87CCE">
      <w:pPr>
        <w:pStyle w:val="CETnumberingbullets"/>
      </w:pPr>
      <w:r w:rsidRPr="00C36D11">
        <w:t>the steam exported at various pressure levels</w:t>
      </w:r>
      <w:r w:rsidR="00ED3287" w:rsidRPr="00C36D11">
        <w:t>.</w:t>
      </w:r>
    </w:p>
    <w:p w14:paraId="5C3CBFFE" w14:textId="77777777" w:rsidR="00ED3287" w:rsidRPr="00C36D11" w:rsidRDefault="00ED3287" w:rsidP="00C57379">
      <w:pPr>
        <w:pStyle w:val="CETBodytext"/>
      </w:pPr>
    </w:p>
    <w:p w14:paraId="63131567" w14:textId="5A319645" w:rsidR="00C57379" w:rsidRPr="00C36D11" w:rsidRDefault="00ED3287" w:rsidP="00C57379">
      <w:pPr>
        <w:pStyle w:val="CETBodytext"/>
      </w:pPr>
      <w:r w:rsidRPr="00C36D11">
        <w:t xml:space="preserve">Considering the same </w:t>
      </w:r>
      <w:r w:rsidR="008577F0" w:rsidRPr="00C36D11">
        <w:t>case stud</w:t>
      </w:r>
      <w:r w:rsidR="002873B2">
        <w:t>ies</w:t>
      </w:r>
      <w:r w:rsidRPr="00C36D11">
        <w:t xml:space="preserve"> mentioned in the previous paragraph, t</w:t>
      </w:r>
      <w:r w:rsidR="00CE322C" w:rsidRPr="00C36D11">
        <w:t>he carbon footprint reduction ha</w:t>
      </w:r>
      <w:r w:rsidR="000945B2" w:rsidRPr="00C36D11">
        <w:t>s</w:t>
      </w:r>
      <w:r w:rsidR="00CE322C" w:rsidRPr="00C36D11">
        <w:t xml:space="preserve"> been calculated </w:t>
      </w:r>
      <w:r w:rsidR="00C57379" w:rsidRPr="00C36D11">
        <w:t>according to the following criteria and reasonable simplifications:</w:t>
      </w:r>
    </w:p>
    <w:p w14:paraId="6E28F0B3" w14:textId="58208A7C" w:rsidR="00C57379" w:rsidRPr="00C36D11" w:rsidRDefault="00C57379" w:rsidP="00314E4A">
      <w:pPr>
        <w:pStyle w:val="CETnumberingbullets"/>
        <w:jc w:val="both"/>
      </w:pPr>
      <w:r w:rsidRPr="00C36D11">
        <w:t>8</w:t>
      </w:r>
      <w:r w:rsidR="00E70CD5">
        <w:t>6</w:t>
      </w:r>
      <w:r w:rsidRPr="00C36D11">
        <w:t>00 yearly operating hours</w:t>
      </w:r>
      <w:r w:rsidR="00314E4A" w:rsidRPr="00C36D11">
        <w:t>;</w:t>
      </w:r>
    </w:p>
    <w:p w14:paraId="33A6EC87" w14:textId="56E28147" w:rsidR="00C57379" w:rsidRPr="00C36D11" w:rsidRDefault="00C57379" w:rsidP="00314E4A">
      <w:pPr>
        <w:pStyle w:val="CETnumberingbullets"/>
        <w:jc w:val="both"/>
      </w:pPr>
      <w:r w:rsidRPr="00C36D11">
        <w:t xml:space="preserve">the carbon footprint is calculated by assigning equivalent emissions factors only </w:t>
      </w:r>
      <w:r w:rsidR="005F73DA">
        <w:t>for</w:t>
      </w:r>
      <w:r w:rsidRPr="00C36D11">
        <w:t xml:space="preserve"> the electricity and fuel</w:t>
      </w:r>
      <w:r w:rsidR="005F73DA">
        <w:t xml:space="preserve"> </w:t>
      </w:r>
      <w:r w:rsidRPr="00C36D11">
        <w:t xml:space="preserve">consumptions, having all </w:t>
      </w:r>
      <w:r w:rsidR="005F73DA">
        <w:t xml:space="preserve">the </w:t>
      </w:r>
      <w:r w:rsidRPr="00C36D11">
        <w:t>other utilities optimized by DPM a negligible impact on the CO</w:t>
      </w:r>
      <w:r w:rsidRPr="005F73DA">
        <w:rPr>
          <w:vertAlign w:val="subscript"/>
        </w:rPr>
        <w:t>2</w:t>
      </w:r>
      <w:r w:rsidRPr="00C36D11">
        <w:t xml:space="preserve"> equivalent emission</w:t>
      </w:r>
      <w:r w:rsidR="00314E4A" w:rsidRPr="00C36D11">
        <w:t>;</w:t>
      </w:r>
    </w:p>
    <w:p w14:paraId="25CCC74B" w14:textId="201DD15C" w:rsidR="00C57379" w:rsidRPr="00C36D11" w:rsidRDefault="003A3016" w:rsidP="00314E4A">
      <w:pPr>
        <w:pStyle w:val="CETnumberingbullets"/>
        <w:jc w:val="both"/>
      </w:pPr>
      <w:r w:rsidRPr="00C36D11">
        <w:t xml:space="preserve">the following </w:t>
      </w:r>
      <w:r w:rsidR="00C57379" w:rsidRPr="00C36D11">
        <w:t>CO</w:t>
      </w:r>
      <w:r w:rsidR="00C57379" w:rsidRPr="00C36D11">
        <w:rPr>
          <w:vertAlign w:val="subscript"/>
        </w:rPr>
        <w:t>2</w:t>
      </w:r>
      <w:r w:rsidR="00C57379" w:rsidRPr="00C36D11">
        <w:t xml:space="preserve"> </w:t>
      </w:r>
      <w:r w:rsidR="00314E4A" w:rsidRPr="00C36D11">
        <w:t>e</w:t>
      </w:r>
      <w:r w:rsidR="00C57379" w:rsidRPr="00C36D11">
        <w:t xml:space="preserve">quivalent </w:t>
      </w:r>
      <w:r w:rsidR="00314E4A" w:rsidRPr="00C36D11">
        <w:t>e</w:t>
      </w:r>
      <w:r w:rsidR="00C57379" w:rsidRPr="00C36D11">
        <w:t xml:space="preserve">mission factors are </w:t>
      </w:r>
      <w:r w:rsidR="00314E4A" w:rsidRPr="00C36D11">
        <w:t xml:space="preserve">derived </w:t>
      </w:r>
      <w:r w:rsidR="00C57379" w:rsidRPr="00C36D11">
        <w:t xml:space="preserve">from </w:t>
      </w:r>
      <w:r w:rsidR="00DA77C1" w:rsidRPr="00C36D11">
        <w:t>“</w:t>
      </w:r>
      <w:r w:rsidR="00C57379" w:rsidRPr="00C36D11">
        <w:t xml:space="preserve">2BS-PRO-03 </w:t>
      </w:r>
      <w:r w:rsidR="00DA77C1" w:rsidRPr="00C36D11">
        <w:t>–</w:t>
      </w:r>
      <w:r w:rsidR="00C57379" w:rsidRPr="00C36D11">
        <w:t xml:space="preserve"> </w:t>
      </w:r>
      <w:r w:rsidR="00DA77C1" w:rsidRPr="00C36D11">
        <w:t>Methodology for the calculation of GHG emissions</w:t>
      </w:r>
      <w:r w:rsidR="001904B2" w:rsidRPr="00C36D11">
        <w:t xml:space="preserve"> – </w:t>
      </w:r>
      <w:r w:rsidR="00D41086">
        <w:t>v</w:t>
      </w:r>
      <w:r w:rsidR="00DD5587">
        <w:t>ersion</w:t>
      </w:r>
      <w:r w:rsidR="00D41086">
        <w:t xml:space="preserve"> 1.9</w:t>
      </w:r>
      <w:r w:rsidR="00DA77C1" w:rsidRPr="00C36D11">
        <w:t>”</w:t>
      </w:r>
      <w:r w:rsidR="00C57379" w:rsidRPr="00C36D11">
        <w:t>:</w:t>
      </w:r>
    </w:p>
    <w:p w14:paraId="3C065054" w14:textId="74F4D0A9" w:rsidR="00C57379" w:rsidRPr="00C36D11" w:rsidRDefault="00C57379">
      <w:pPr>
        <w:pStyle w:val="CETnumberingbullets"/>
        <w:numPr>
          <w:ilvl w:val="1"/>
          <w:numId w:val="12"/>
        </w:numPr>
      </w:pPr>
      <w:r w:rsidRPr="00C36D11">
        <w:t>127</w:t>
      </w:r>
      <w:r w:rsidR="00896567">
        <w:t>.</w:t>
      </w:r>
      <w:r w:rsidRPr="00C36D11">
        <w:t>65gCO</w:t>
      </w:r>
      <w:r w:rsidRPr="00C36D11">
        <w:rPr>
          <w:vertAlign w:val="subscript"/>
        </w:rPr>
        <w:t>2eq</w:t>
      </w:r>
      <w:r w:rsidRPr="00C36D11">
        <w:t>/MJ for Electricity</w:t>
      </w:r>
    </w:p>
    <w:p w14:paraId="59447650" w14:textId="6D6D03EE" w:rsidR="00C57379" w:rsidRPr="00C87CCE" w:rsidRDefault="00C57379">
      <w:pPr>
        <w:pStyle w:val="CETnumberingbullets"/>
        <w:numPr>
          <w:ilvl w:val="1"/>
          <w:numId w:val="12"/>
        </w:numPr>
      </w:pPr>
      <w:r w:rsidRPr="00C87CCE">
        <w:t>67</w:t>
      </w:r>
      <w:r w:rsidR="00896567">
        <w:t>.</w:t>
      </w:r>
      <w:r w:rsidRPr="00C87CCE">
        <w:t>59gCO</w:t>
      </w:r>
      <w:r w:rsidRPr="008577F0">
        <w:rPr>
          <w:vertAlign w:val="subscript"/>
        </w:rPr>
        <w:t>2eq</w:t>
      </w:r>
      <w:r w:rsidRPr="00C87CCE">
        <w:t>/MJ for Natural Gas &amp; Fuel Gas</w:t>
      </w:r>
    </w:p>
    <w:p w14:paraId="7AA09B7A" w14:textId="77777777" w:rsidR="008577F0" w:rsidRPr="000843B3" w:rsidRDefault="008577F0" w:rsidP="00C87CCE">
      <w:pPr>
        <w:pStyle w:val="CETBodytext"/>
        <w:rPr>
          <w:lang w:val="en-GB"/>
        </w:rPr>
      </w:pPr>
    </w:p>
    <w:p w14:paraId="38E7EC1B" w14:textId="063C16BA" w:rsidR="00C87CCE" w:rsidRPr="00B542C6" w:rsidRDefault="00C57379" w:rsidP="00C87CCE">
      <w:pPr>
        <w:pStyle w:val="CETBodytext"/>
        <w:rPr>
          <w:b/>
          <w:bCs/>
          <w:i/>
          <w:iCs/>
        </w:rPr>
      </w:pPr>
      <w:r w:rsidRPr="00B542C6">
        <w:rPr>
          <w:b/>
          <w:bCs/>
          <w:i/>
          <w:iCs/>
        </w:rPr>
        <w:t>The results of the case stud</w:t>
      </w:r>
      <w:r w:rsidR="002873B2">
        <w:rPr>
          <w:b/>
          <w:bCs/>
          <w:i/>
          <w:iCs/>
        </w:rPr>
        <w:t>ies</w:t>
      </w:r>
      <w:r w:rsidRPr="00B542C6">
        <w:rPr>
          <w:b/>
          <w:bCs/>
          <w:i/>
          <w:iCs/>
        </w:rPr>
        <w:t xml:space="preserve"> </w:t>
      </w:r>
      <w:r w:rsidR="00AC103A" w:rsidRPr="00B542C6">
        <w:rPr>
          <w:b/>
          <w:bCs/>
          <w:i/>
          <w:iCs/>
        </w:rPr>
        <w:t>led</w:t>
      </w:r>
      <w:r w:rsidR="00C87CCE" w:rsidRPr="00B542C6">
        <w:rPr>
          <w:b/>
          <w:bCs/>
          <w:i/>
          <w:iCs/>
        </w:rPr>
        <w:t xml:space="preserve"> to </w:t>
      </w:r>
      <w:r w:rsidR="00AC103A" w:rsidRPr="00B542C6">
        <w:rPr>
          <w:b/>
          <w:bCs/>
          <w:i/>
          <w:iCs/>
        </w:rPr>
        <w:t>the following</w:t>
      </w:r>
      <w:r w:rsidR="00C87CCE" w:rsidRPr="00B542C6">
        <w:rPr>
          <w:b/>
          <w:bCs/>
          <w:i/>
          <w:iCs/>
        </w:rPr>
        <w:t xml:space="preserve"> saving of emission of CO</w:t>
      </w:r>
      <w:r w:rsidR="00C87CCE" w:rsidRPr="00B542C6">
        <w:rPr>
          <w:b/>
          <w:bCs/>
          <w:i/>
          <w:iCs/>
          <w:vertAlign w:val="subscript"/>
        </w:rPr>
        <w:t>2</w:t>
      </w:r>
      <w:r w:rsidR="00C87CCE" w:rsidRPr="00B542C6">
        <w:rPr>
          <w:b/>
          <w:bCs/>
          <w:i/>
          <w:iCs/>
        </w:rPr>
        <w:t xml:space="preserve"> equivalent:</w:t>
      </w:r>
    </w:p>
    <w:p w14:paraId="34599177" w14:textId="6F64778C" w:rsidR="00C87CCE" w:rsidRPr="00B542C6" w:rsidRDefault="00FC4AD8" w:rsidP="00876455">
      <w:pPr>
        <w:pStyle w:val="CETnumberingbullets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114EAA">
        <w:rPr>
          <w:b/>
          <w:bCs/>
          <w:i/>
          <w:iCs/>
        </w:rPr>
        <w:t>0</w:t>
      </w:r>
      <w:r w:rsidR="00986B2C">
        <w:rPr>
          <w:b/>
          <w:bCs/>
          <w:i/>
          <w:iCs/>
        </w:rPr>
        <w:t>,</w:t>
      </w:r>
      <w:r w:rsidR="00114EAA">
        <w:rPr>
          <w:b/>
          <w:bCs/>
          <w:i/>
          <w:iCs/>
        </w:rPr>
        <w:t>7</w:t>
      </w:r>
      <w:r>
        <w:rPr>
          <w:b/>
          <w:bCs/>
          <w:i/>
          <w:iCs/>
        </w:rPr>
        <w:t>00</w:t>
      </w:r>
      <w:r w:rsidR="00C87CCE" w:rsidRPr="00B542C6">
        <w:rPr>
          <w:b/>
          <w:bCs/>
          <w:i/>
          <w:iCs/>
        </w:rPr>
        <w:t>t/y (~</w:t>
      </w:r>
      <w:r w:rsidR="00C87CCE" w:rsidRPr="00B542C6" w:rsidDel="0006248F">
        <w:rPr>
          <w:b/>
          <w:bCs/>
          <w:i/>
          <w:iCs/>
        </w:rPr>
        <w:t>4</w:t>
      </w:r>
      <w:r w:rsidR="00C87CCE" w:rsidRPr="00B542C6">
        <w:rPr>
          <w:b/>
          <w:bCs/>
          <w:i/>
          <w:iCs/>
        </w:rPr>
        <w:t xml:space="preserve">% reduction of GHG emissions </w:t>
      </w:r>
      <w:r w:rsidR="00A31A7B" w:rsidRPr="00B542C6">
        <w:rPr>
          <w:b/>
          <w:bCs/>
          <w:i/>
          <w:iCs/>
        </w:rPr>
        <w:t xml:space="preserve">expected </w:t>
      </w:r>
      <w:r w:rsidR="00C87CCE" w:rsidRPr="00B542C6">
        <w:rPr>
          <w:b/>
          <w:bCs/>
          <w:i/>
          <w:iCs/>
        </w:rPr>
        <w:t>without DPM) for a HPU with capacity of 70</w:t>
      </w:r>
      <w:r w:rsidR="006B363E">
        <w:rPr>
          <w:b/>
          <w:bCs/>
          <w:i/>
          <w:iCs/>
        </w:rPr>
        <w:t>,</w:t>
      </w:r>
      <w:r w:rsidR="00C87CCE" w:rsidRPr="00B542C6">
        <w:rPr>
          <w:b/>
          <w:bCs/>
          <w:i/>
          <w:iCs/>
        </w:rPr>
        <w:t>000Nm</w:t>
      </w:r>
      <w:r w:rsidR="00C87CCE" w:rsidRPr="006C216A">
        <w:rPr>
          <w:b/>
          <w:bCs/>
          <w:i/>
          <w:iCs/>
          <w:vertAlign w:val="superscript"/>
        </w:rPr>
        <w:t>3</w:t>
      </w:r>
      <w:r w:rsidR="00C87CCE" w:rsidRPr="00B542C6">
        <w:rPr>
          <w:b/>
          <w:bCs/>
          <w:i/>
          <w:iCs/>
        </w:rPr>
        <w:t>H</w:t>
      </w:r>
      <w:r w:rsidR="00C87CCE" w:rsidRPr="00B542C6">
        <w:rPr>
          <w:b/>
          <w:bCs/>
          <w:i/>
          <w:iCs/>
          <w:vertAlign w:val="subscript"/>
        </w:rPr>
        <w:t>2</w:t>
      </w:r>
      <w:r w:rsidR="00C87CCE" w:rsidRPr="00B542C6">
        <w:rPr>
          <w:b/>
          <w:bCs/>
          <w:i/>
          <w:iCs/>
        </w:rPr>
        <w:t>/h (equivalent to ~</w:t>
      </w:r>
      <w:r w:rsidR="000F229B">
        <w:rPr>
          <w:b/>
          <w:bCs/>
          <w:i/>
          <w:iCs/>
        </w:rPr>
        <w:t>62</w:t>
      </w:r>
      <w:r w:rsidR="00920A2F">
        <w:rPr>
          <w:b/>
          <w:bCs/>
          <w:i/>
          <w:iCs/>
        </w:rPr>
        <w:t>1</w:t>
      </w:r>
      <w:r w:rsidR="006B363E">
        <w:rPr>
          <w:b/>
          <w:bCs/>
          <w:i/>
          <w:iCs/>
        </w:rPr>
        <w:t>,000</w:t>
      </w:r>
      <w:r w:rsidR="00C87CCE" w:rsidRPr="00B542C6">
        <w:rPr>
          <w:b/>
          <w:bCs/>
          <w:i/>
          <w:iCs/>
        </w:rPr>
        <w:t xml:space="preserve">€/y </w:t>
      </w:r>
      <w:r w:rsidR="006D3AA9">
        <w:rPr>
          <w:b/>
          <w:bCs/>
          <w:i/>
          <w:iCs/>
        </w:rPr>
        <w:t xml:space="preserve">saved </w:t>
      </w:r>
      <w:r w:rsidR="00C87CCE" w:rsidRPr="00B542C6">
        <w:rPr>
          <w:b/>
          <w:bCs/>
          <w:i/>
          <w:iCs/>
        </w:rPr>
        <w:t>considering a carbon tax of 30€/t)</w:t>
      </w:r>
      <w:r w:rsidR="00BC17F4">
        <w:rPr>
          <w:b/>
          <w:bCs/>
          <w:i/>
          <w:iCs/>
        </w:rPr>
        <w:t>;</w:t>
      </w:r>
    </w:p>
    <w:p w14:paraId="3BCF2D31" w14:textId="7C4B2FFD" w:rsidR="00E7700D" w:rsidRPr="00B542C6" w:rsidRDefault="00F82D7F" w:rsidP="00B07ADD">
      <w:pPr>
        <w:pStyle w:val="CETnumberingbullets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986B2C">
        <w:rPr>
          <w:b/>
          <w:bCs/>
          <w:i/>
          <w:iCs/>
        </w:rPr>
        <w:t>,</w:t>
      </w:r>
      <w:r>
        <w:rPr>
          <w:b/>
          <w:bCs/>
          <w:i/>
          <w:iCs/>
        </w:rPr>
        <w:t>30</w:t>
      </w:r>
      <w:r w:rsidR="00C87CCE" w:rsidRPr="00B542C6">
        <w:rPr>
          <w:b/>
          <w:bCs/>
          <w:i/>
          <w:iCs/>
        </w:rPr>
        <w:t>0t/y (~1</w:t>
      </w:r>
      <w:r>
        <w:rPr>
          <w:b/>
          <w:bCs/>
          <w:i/>
          <w:iCs/>
        </w:rPr>
        <w:t>8</w:t>
      </w:r>
      <w:r w:rsidR="00C87CCE" w:rsidRPr="00B542C6">
        <w:rPr>
          <w:b/>
          <w:bCs/>
          <w:i/>
          <w:iCs/>
        </w:rPr>
        <w:t xml:space="preserve">% reduction of GHG emissions without DPM) for a SRU with capacity of </w:t>
      </w:r>
      <w:r w:rsidR="00A7642C">
        <w:rPr>
          <w:b/>
          <w:bCs/>
          <w:i/>
          <w:iCs/>
        </w:rPr>
        <w:t>19</w:t>
      </w:r>
      <w:r w:rsidR="00C87CCE" w:rsidRPr="00B542C6">
        <w:rPr>
          <w:b/>
          <w:bCs/>
          <w:i/>
          <w:iCs/>
        </w:rPr>
        <w:t xml:space="preserve">0t/d of </w:t>
      </w:r>
      <w:r w:rsidR="00853FED" w:rsidRPr="00B542C6">
        <w:rPr>
          <w:b/>
          <w:bCs/>
          <w:i/>
          <w:iCs/>
        </w:rPr>
        <w:t>removed</w:t>
      </w:r>
      <w:r w:rsidR="00C87CCE" w:rsidRPr="00B542C6">
        <w:rPr>
          <w:b/>
          <w:bCs/>
          <w:i/>
          <w:iCs/>
        </w:rPr>
        <w:t xml:space="preserve"> </w:t>
      </w:r>
      <w:r w:rsidR="00027188" w:rsidRPr="00B542C6">
        <w:rPr>
          <w:b/>
          <w:bCs/>
          <w:i/>
          <w:iCs/>
        </w:rPr>
        <w:t>s</w:t>
      </w:r>
      <w:r w:rsidR="00C87CCE" w:rsidRPr="00B542C6">
        <w:rPr>
          <w:b/>
          <w:bCs/>
          <w:i/>
          <w:iCs/>
        </w:rPr>
        <w:t>ulphur (equivalent to ~</w:t>
      </w:r>
      <w:r w:rsidR="00763E4D">
        <w:rPr>
          <w:b/>
          <w:bCs/>
          <w:i/>
          <w:iCs/>
        </w:rPr>
        <w:t>69</w:t>
      </w:r>
      <w:r w:rsidR="006B363E">
        <w:rPr>
          <w:b/>
          <w:bCs/>
          <w:i/>
          <w:iCs/>
        </w:rPr>
        <w:t>,000</w:t>
      </w:r>
      <w:r w:rsidR="00C87CCE" w:rsidRPr="00B542C6">
        <w:rPr>
          <w:b/>
          <w:bCs/>
          <w:i/>
          <w:iCs/>
        </w:rPr>
        <w:t xml:space="preserve">€/y </w:t>
      </w:r>
      <w:r w:rsidR="006D3AA9">
        <w:rPr>
          <w:b/>
          <w:bCs/>
          <w:i/>
          <w:iCs/>
        </w:rPr>
        <w:t xml:space="preserve">saved </w:t>
      </w:r>
      <w:r w:rsidR="00C87CCE" w:rsidRPr="00B542C6">
        <w:rPr>
          <w:b/>
          <w:bCs/>
          <w:i/>
          <w:iCs/>
        </w:rPr>
        <w:t>considering a carbon tax of 30€/t)</w:t>
      </w:r>
      <w:r w:rsidR="00B07ADD" w:rsidRPr="00B542C6">
        <w:rPr>
          <w:b/>
          <w:bCs/>
          <w:i/>
          <w:iCs/>
        </w:rPr>
        <w:t>.</w:t>
      </w:r>
    </w:p>
    <w:p w14:paraId="564E843C" w14:textId="2D28AC85" w:rsidR="00091842" w:rsidRPr="00FF1D65" w:rsidRDefault="4DC981E6" w:rsidP="00B7739A">
      <w:pPr>
        <w:pStyle w:val="CETHeading1"/>
      </w:pPr>
      <w:r>
        <w:t>Conclusion</w:t>
      </w:r>
      <w:r w:rsidR="00B07ADD">
        <w:t>s</w:t>
      </w:r>
    </w:p>
    <w:p w14:paraId="19C4FC68" w14:textId="03D5060A" w:rsidR="004628D2" w:rsidRDefault="45D65095" w:rsidP="00B8016C">
      <w:pPr>
        <w:pStyle w:val="CETBodytext"/>
        <w:rPr>
          <w:rFonts w:eastAsia="Calibri"/>
        </w:rPr>
      </w:pPr>
      <w:r w:rsidRPr="001A0718">
        <w:rPr>
          <w:rFonts w:eastAsia="Calibri"/>
        </w:rPr>
        <w:t>The energy sector is a very conservative business segment, but today there are two game-changers that can dramatically accelerate the changes already occurring in adjacent sectors such as insurance, banking, retail, etc.</w:t>
      </w:r>
      <w:r w:rsidR="0002265D" w:rsidRPr="001A0718">
        <w:t xml:space="preserve"> </w:t>
      </w:r>
      <w:r w:rsidRPr="001A0718">
        <w:rPr>
          <w:rFonts w:eastAsia="Calibri"/>
        </w:rPr>
        <w:t>Digital transformation and the energy transition are two sides of the same coin</w:t>
      </w:r>
      <w:r w:rsidR="007E2892">
        <w:rPr>
          <w:rFonts w:eastAsia="Calibri"/>
        </w:rPr>
        <w:t xml:space="preserve">, because the goal of decarbonizing </w:t>
      </w:r>
      <w:r w:rsidRPr="001A0718">
        <w:rPr>
          <w:rFonts w:eastAsia="Calibri"/>
        </w:rPr>
        <w:t>existing and new industrial complexes can be effectively achieved only by leveraging on digitalization.</w:t>
      </w:r>
    </w:p>
    <w:p w14:paraId="3F9C8E95" w14:textId="5534E7DD" w:rsidR="004734C9" w:rsidRPr="006B388C" w:rsidRDefault="004734C9" w:rsidP="006B388C">
      <w:pPr>
        <w:rPr>
          <w:rFonts w:eastAsia="Calibri" w:cs="Arial"/>
        </w:rPr>
      </w:pPr>
      <w:r w:rsidRPr="004734C9">
        <w:rPr>
          <w:rFonts w:eastAsia="Calibri" w:cs="Arial"/>
        </w:rPr>
        <w:t xml:space="preserve">Going forward, at </w:t>
      </w:r>
      <w:r>
        <w:rPr>
          <w:rFonts w:eastAsia="Calibri" w:cs="Arial"/>
        </w:rPr>
        <w:t xml:space="preserve">KT </w:t>
      </w:r>
      <w:r w:rsidRPr="004734C9">
        <w:rPr>
          <w:rFonts w:eastAsia="Calibri" w:cs="Arial"/>
        </w:rPr>
        <w:t xml:space="preserve">we will continue to develop and </w:t>
      </w:r>
      <w:r w:rsidR="006B388C">
        <w:rPr>
          <w:rFonts w:eastAsia="Calibri" w:cs="Arial"/>
        </w:rPr>
        <w:t>improve</w:t>
      </w:r>
      <w:r w:rsidRPr="004734C9">
        <w:rPr>
          <w:rFonts w:eastAsia="Calibri" w:cs="Arial"/>
        </w:rPr>
        <w:t xml:space="preserve"> our newly created tools, which are part of Maire Tecnimont’s NextPlant’s</w:t>
      </w:r>
      <w:r w:rsidRPr="004734C9">
        <w:rPr>
          <w:rStyle w:val="FootnoteReference"/>
          <w:rFonts w:eastAsia="Calibri" w:cs="Arial"/>
        </w:rPr>
        <w:footnoteReference w:id="2"/>
      </w:r>
      <w:r w:rsidRPr="004734C9">
        <w:rPr>
          <w:rFonts w:eastAsia="Calibri" w:cs="Arial"/>
        </w:rPr>
        <w:t xml:space="preserve"> digital platform, for managing the </w:t>
      </w:r>
      <w:r w:rsidR="009208CE">
        <w:rPr>
          <w:rFonts w:eastAsia="Calibri" w:cs="Arial"/>
        </w:rPr>
        <w:t xml:space="preserve">operational </w:t>
      </w:r>
      <w:r w:rsidRPr="004734C9">
        <w:rPr>
          <w:rFonts w:eastAsia="Calibri" w:cs="Arial"/>
        </w:rPr>
        <w:t xml:space="preserve">challenges in the </w:t>
      </w:r>
      <w:r w:rsidRPr="004734C9">
        <w:rPr>
          <w:rFonts w:cs="Arial"/>
        </w:rPr>
        <w:t>hydro</w:t>
      </w:r>
      <w:r w:rsidR="00454ECB">
        <w:rPr>
          <w:rFonts w:cs="Arial"/>
        </w:rPr>
        <w:t>carbon processing</w:t>
      </w:r>
      <w:r w:rsidRPr="004734C9">
        <w:rPr>
          <w:rFonts w:cs="Arial"/>
        </w:rPr>
        <w:t xml:space="preserve"> </w:t>
      </w:r>
      <w:r w:rsidRPr="004734C9">
        <w:rPr>
          <w:rFonts w:eastAsia="Calibri" w:cs="Arial"/>
        </w:rPr>
        <w:t xml:space="preserve">arena. </w:t>
      </w:r>
    </w:p>
    <w:sectPr w:rsidR="004734C9" w:rsidRPr="006B388C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90AD" w14:textId="77777777" w:rsidR="008E7C13" w:rsidRDefault="008E7C13" w:rsidP="004F5E36">
      <w:r>
        <w:separator/>
      </w:r>
    </w:p>
  </w:endnote>
  <w:endnote w:type="continuationSeparator" w:id="0">
    <w:p w14:paraId="778452C8" w14:textId="77777777" w:rsidR="008E7C13" w:rsidRDefault="008E7C13" w:rsidP="004F5E36">
      <w:r>
        <w:continuationSeparator/>
      </w:r>
    </w:p>
  </w:endnote>
  <w:endnote w:type="continuationNotice" w:id="1">
    <w:p w14:paraId="113EB5B4" w14:textId="77777777" w:rsidR="008E7C13" w:rsidRDefault="008E7C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0898" w14:textId="77777777" w:rsidR="008E7C13" w:rsidRDefault="008E7C13" w:rsidP="004F5E36">
      <w:r>
        <w:separator/>
      </w:r>
    </w:p>
  </w:footnote>
  <w:footnote w:type="continuationSeparator" w:id="0">
    <w:p w14:paraId="4ECAAA8E" w14:textId="77777777" w:rsidR="008E7C13" w:rsidRDefault="008E7C13" w:rsidP="004F5E36">
      <w:r>
        <w:continuationSeparator/>
      </w:r>
    </w:p>
  </w:footnote>
  <w:footnote w:type="continuationNotice" w:id="1">
    <w:p w14:paraId="59D120DB" w14:textId="77777777" w:rsidR="008E7C13" w:rsidRDefault="008E7C13">
      <w:pPr>
        <w:spacing w:line="240" w:lineRule="auto"/>
      </w:pPr>
    </w:p>
  </w:footnote>
  <w:footnote w:id="2">
    <w:p w14:paraId="25058760" w14:textId="77777777" w:rsidR="004734C9" w:rsidRPr="00DD63B7" w:rsidRDefault="004734C9" w:rsidP="004734C9">
      <w:pPr>
        <w:pStyle w:val="FootnoteText"/>
        <w:rPr>
          <w:rFonts w:cs="Arial"/>
          <w:sz w:val="16"/>
          <w:szCs w:val="16"/>
        </w:rPr>
      </w:pPr>
      <w:r w:rsidRPr="001C1089">
        <w:rPr>
          <w:rStyle w:val="FootnoteReference"/>
          <w:rFonts w:cs="Arial"/>
        </w:rPr>
        <w:footnoteRef/>
      </w:r>
      <w:r w:rsidRPr="001C1089">
        <w:rPr>
          <w:rFonts w:cs="Arial"/>
        </w:rPr>
        <w:t xml:space="preserve"> </w:t>
      </w:r>
      <w:r w:rsidRPr="00DD63B7">
        <w:rPr>
          <w:rFonts w:cs="Arial"/>
          <w:sz w:val="16"/>
          <w:szCs w:val="16"/>
        </w:rPr>
        <w:t>NextPlant is a portfolio of digital solutions and services that enables Maire Tecnimont Group’s companies to design "natively digital" plants starting from the engineering phase, thereby unlocking more value during plant operations.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AA24A37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1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93450">
    <w:abstractNumId w:val="10"/>
  </w:num>
  <w:num w:numId="2" w16cid:durableId="1156993344">
    <w:abstractNumId w:val="8"/>
  </w:num>
  <w:num w:numId="3" w16cid:durableId="64032797">
    <w:abstractNumId w:val="3"/>
  </w:num>
  <w:num w:numId="4" w16cid:durableId="1304776808">
    <w:abstractNumId w:val="2"/>
  </w:num>
  <w:num w:numId="5" w16cid:durableId="65031191">
    <w:abstractNumId w:val="1"/>
  </w:num>
  <w:num w:numId="6" w16cid:durableId="147597044">
    <w:abstractNumId w:val="0"/>
  </w:num>
  <w:num w:numId="7" w16cid:durableId="720858841">
    <w:abstractNumId w:val="9"/>
  </w:num>
  <w:num w:numId="8" w16cid:durableId="931208821">
    <w:abstractNumId w:val="7"/>
  </w:num>
  <w:num w:numId="9" w16cid:durableId="604076812">
    <w:abstractNumId w:val="6"/>
  </w:num>
  <w:num w:numId="10" w16cid:durableId="50732357">
    <w:abstractNumId w:val="5"/>
  </w:num>
  <w:num w:numId="11" w16cid:durableId="1814710206">
    <w:abstractNumId w:val="4"/>
  </w:num>
  <w:num w:numId="12" w16cid:durableId="287441108">
    <w:abstractNumId w:val="11"/>
  </w:num>
  <w:num w:numId="13" w16cid:durableId="1027557371">
    <w:abstractNumId w:val="12"/>
  </w:num>
  <w:num w:numId="14" w16cid:durableId="37724500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0B7E"/>
    <w:rsid w:val="000027C0"/>
    <w:rsid w:val="000052FB"/>
    <w:rsid w:val="0000543F"/>
    <w:rsid w:val="000055EE"/>
    <w:rsid w:val="000063FD"/>
    <w:rsid w:val="00010F7F"/>
    <w:rsid w:val="000117CB"/>
    <w:rsid w:val="00012A51"/>
    <w:rsid w:val="00012C8F"/>
    <w:rsid w:val="0001509F"/>
    <w:rsid w:val="00015470"/>
    <w:rsid w:val="00015598"/>
    <w:rsid w:val="00017405"/>
    <w:rsid w:val="000214B9"/>
    <w:rsid w:val="00022061"/>
    <w:rsid w:val="0002265D"/>
    <w:rsid w:val="00024A15"/>
    <w:rsid w:val="0002618E"/>
    <w:rsid w:val="00026EB9"/>
    <w:rsid w:val="00027188"/>
    <w:rsid w:val="0003148D"/>
    <w:rsid w:val="00031EEC"/>
    <w:rsid w:val="0003313D"/>
    <w:rsid w:val="00040B74"/>
    <w:rsid w:val="00041342"/>
    <w:rsid w:val="000415FE"/>
    <w:rsid w:val="00043F07"/>
    <w:rsid w:val="00044BEE"/>
    <w:rsid w:val="00045240"/>
    <w:rsid w:val="000461CF"/>
    <w:rsid w:val="00046D74"/>
    <w:rsid w:val="00050F64"/>
    <w:rsid w:val="00051566"/>
    <w:rsid w:val="00052367"/>
    <w:rsid w:val="000532A5"/>
    <w:rsid w:val="000536AB"/>
    <w:rsid w:val="000537EE"/>
    <w:rsid w:val="00054F86"/>
    <w:rsid w:val="000562A9"/>
    <w:rsid w:val="000600BC"/>
    <w:rsid w:val="0006012D"/>
    <w:rsid w:val="0006248F"/>
    <w:rsid w:val="00062A9A"/>
    <w:rsid w:val="00063181"/>
    <w:rsid w:val="0006381B"/>
    <w:rsid w:val="00064676"/>
    <w:rsid w:val="00065058"/>
    <w:rsid w:val="00066B1D"/>
    <w:rsid w:val="00067647"/>
    <w:rsid w:val="00072A2E"/>
    <w:rsid w:val="00073119"/>
    <w:rsid w:val="000746A8"/>
    <w:rsid w:val="00075B36"/>
    <w:rsid w:val="00077F1A"/>
    <w:rsid w:val="000822AE"/>
    <w:rsid w:val="000838DA"/>
    <w:rsid w:val="000843B3"/>
    <w:rsid w:val="000860B3"/>
    <w:rsid w:val="00086C39"/>
    <w:rsid w:val="00087C0C"/>
    <w:rsid w:val="0009033E"/>
    <w:rsid w:val="00090804"/>
    <w:rsid w:val="00090BF2"/>
    <w:rsid w:val="00091842"/>
    <w:rsid w:val="00091A5E"/>
    <w:rsid w:val="000945B2"/>
    <w:rsid w:val="000971B4"/>
    <w:rsid w:val="000A03B2"/>
    <w:rsid w:val="000A0CE3"/>
    <w:rsid w:val="000A0DA0"/>
    <w:rsid w:val="000A1E3A"/>
    <w:rsid w:val="000A2834"/>
    <w:rsid w:val="000A3910"/>
    <w:rsid w:val="000A6383"/>
    <w:rsid w:val="000B005B"/>
    <w:rsid w:val="000B2330"/>
    <w:rsid w:val="000B37EA"/>
    <w:rsid w:val="000B4718"/>
    <w:rsid w:val="000B6D5D"/>
    <w:rsid w:val="000B79E8"/>
    <w:rsid w:val="000B7E2D"/>
    <w:rsid w:val="000C085C"/>
    <w:rsid w:val="000C0992"/>
    <w:rsid w:val="000C42BF"/>
    <w:rsid w:val="000C5A12"/>
    <w:rsid w:val="000D0268"/>
    <w:rsid w:val="000D34BE"/>
    <w:rsid w:val="000D5300"/>
    <w:rsid w:val="000D7706"/>
    <w:rsid w:val="000E102F"/>
    <w:rsid w:val="000E1A01"/>
    <w:rsid w:val="000E36F1"/>
    <w:rsid w:val="000E3A73"/>
    <w:rsid w:val="000E414A"/>
    <w:rsid w:val="000E41B9"/>
    <w:rsid w:val="000F093C"/>
    <w:rsid w:val="000F229B"/>
    <w:rsid w:val="000F4F1F"/>
    <w:rsid w:val="000F6136"/>
    <w:rsid w:val="000F62DA"/>
    <w:rsid w:val="000F67B0"/>
    <w:rsid w:val="000F787B"/>
    <w:rsid w:val="000F7B0B"/>
    <w:rsid w:val="001025B7"/>
    <w:rsid w:val="00107DB1"/>
    <w:rsid w:val="00111788"/>
    <w:rsid w:val="001127F7"/>
    <w:rsid w:val="00114EAA"/>
    <w:rsid w:val="00117130"/>
    <w:rsid w:val="0011766F"/>
    <w:rsid w:val="00117DED"/>
    <w:rsid w:val="0012091F"/>
    <w:rsid w:val="00120CBC"/>
    <w:rsid w:val="001224B8"/>
    <w:rsid w:val="00123102"/>
    <w:rsid w:val="00123E69"/>
    <w:rsid w:val="001257CA"/>
    <w:rsid w:val="00126BC2"/>
    <w:rsid w:val="00126F62"/>
    <w:rsid w:val="0013007F"/>
    <w:rsid w:val="0013021B"/>
    <w:rsid w:val="001308B6"/>
    <w:rsid w:val="0013121F"/>
    <w:rsid w:val="001313BD"/>
    <w:rsid w:val="00131FE6"/>
    <w:rsid w:val="0013263F"/>
    <w:rsid w:val="00133094"/>
    <w:rsid w:val="001331DF"/>
    <w:rsid w:val="00134D67"/>
    <w:rsid w:val="00134DE4"/>
    <w:rsid w:val="0014034D"/>
    <w:rsid w:val="00141A06"/>
    <w:rsid w:val="00142160"/>
    <w:rsid w:val="00143171"/>
    <w:rsid w:val="00144D16"/>
    <w:rsid w:val="00145929"/>
    <w:rsid w:val="00146758"/>
    <w:rsid w:val="001467A9"/>
    <w:rsid w:val="00150E59"/>
    <w:rsid w:val="00151366"/>
    <w:rsid w:val="00152DE3"/>
    <w:rsid w:val="0015322A"/>
    <w:rsid w:val="001568AB"/>
    <w:rsid w:val="00157943"/>
    <w:rsid w:val="001605A4"/>
    <w:rsid w:val="0016161C"/>
    <w:rsid w:val="00162BDB"/>
    <w:rsid w:val="0016340D"/>
    <w:rsid w:val="0016348F"/>
    <w:rsid w:val="00164CF9"/>
    <w:rsid w:val="001667A6"/>
    <w:rsid w:val="00171744"/>
    <w:rsid w:val="00171D6C"/>
    <w:rsid w:val="001725CA"/>
    <w:rsid w:val="00172A74"/>
    <w:rsid w:val="0017303D"/>
    <w:rsid w:val="00174826"/>
    <w:rsid w:val="00183078"/>
    <w:rsid w:val="00184AD6"/>
    <w:rsid w:val="00187881"/>
    <w:rsid w:val="00187B19"/>
    <w:rsid w:val="00187BAA"/>
    <w:rsid w:val="001904B2"/>
    <w:rsid w:val="00190AA9"/>
    <w:rsid w:val="001910E4"/>
    <w:rsid w:val="0019392B"/>
    <w:rsid w:val="001943DF"/>
    <w:rsid w:val="00197DC1"/>
    <w:rsid w:val="001A0718"/>
    <w:rsid w:val="001A0FCE"/>
    <w:rsid w:val="001A2472"/>
    <w:rsid w:val="001A2B4A"/>
    <w:rsid w:val="001A31E0"/>
    <w:rsid w:val="001A3700"/>
    <w:rsid w:val="001A4AF7"/>
    <w:rsid w:val="001A56D0"/>
    <w:rsid w:val="001A6326"/>
    <w:rsid w:val="001A6343"/>
    <w:rsid w:val="001B0349"/>
    <w:rsid w:val="001B0A02"/>
    <w:rsid w:val="001B1E93"/>
    <w:rsid w:val="001B2166"/>
    <w:rsid w:val="001B2E54"/>
    <w:rsid w:val="001B65C1"/>
    <w:rsid w:val="001C06ED"/>
    <w:rsid w:val="001C1089"/>
    <w:rsid w:val="001C15E8"/>
    <w:rsid w:val="001C3952"/>
    <w:rsid w:val="001C44AF"/>
    <w:rsid w:val="001C4D95"/>
    <w:rsid w:val="001C5E1D"/>
    <w:rsid w:val="001C684B"/>
    <w:rsid w:val="001D0CFB"/>
    <w:rsid w:val="001D107A"/>
    <w:rsid w:val="001D21AF"/>
    <w:rsid w:val="001D238A"/>
    <w:rsid w:val="001D4597"/>
    <w:rsid w:val="001D53FC"/>
    <w:rsid w:val="001D58CF"/>
    <w:rsid w:val="001E50A8"/>
    <w:rsid w:val="001E66BB"/>
    <w:rsid w:val="001E66D9"/>
    <w:rsid w:val="001F10E2"/>
    <w:rsid w:val="001F42A5"/>
    <w:rsid w:val="001F4E44"/>
    <w:rsid w:val="001F5DCA"/>
    <w:rsid w:val="001F7B9D"/>
    <w:rsid w:val="001F7C2C"/>
    <w:rsid w:val="00201230"/>
    <w:rsid w:val="00201C93"/>
    <w:rsid w:val="00205E7B"/>
    <w:rsid w:val="002070BC"/>
    <w:rsid w:val="002108BF"/>
    <w:rsid w:val="00210A8D"/>
    <w:rsid w:val="00211619"/>
    <w:rsid w:val="00215651"/>
    <w:rsid w:val="002217FA"/>
    <w:rsid w:val="002224B4"/>
    <w:rsid w:val="002230BF"/>
    <w:rsid w:val="002253C5"/>
    <w:rsid w:val="00225DD0"/>
    <w:rsid w:val="0022606C"/>
    <w:rsid w:val="0023097F"/>
    <w:rsid w:val="00231121"/>
    <w:rsid w:val="00232E6E"/>
    <w:rsid w:val="00233F4E"/>
    <w:rsid w:val="002344F0"/>
    <w:rsid w:val="0023689A"/>
    <w:rsid w:val="002414A4"/>
    <w:rsid w:val="0024199A"/>
    <w:rsid w:val="00243A68"/>
    <w:rsid w:val="002447EF"/>
    <w:rsid w:val="00244F93"/>
    <w:rsid w:val="00245171"/>
    <w:rsid w:val="002452C0"/>
    <w:rsid w:val="0025148A"/>
    <w:rsid w:val="00251550"/>
    <w:rsid w:val="002525EB"/>
    <w:rsid w:val="00263813"/>
    <w:rsid w:val="00263B05"/>
    <w:rsid w:val="002645D7"/>
    <w:rsid w:val="00265978"/>
    <w:rsid w:val="00266EE4"/>
    <w:rsid w:val="00270763"/>
    <w:rsid w:val="0027221A"/>
    <w:rsid w:val="00273D16"/>
    <w:rsid w:val="002752E2"/>
    <w:rsid w:val="002753C0"/>
    <w:rsid w:val="00275B61"/>
    <w:rsid w:val="00276BA5"/>
    <w:rsid w:val="00277998"/>
    <w:rsid w:val="00277FE1"/>
    <w:rsid w:val="00280079"/>
    <w:rsid w:val="00280FAF"/>
    <w:rsid w:val="00281932"/>
    <w:rsid w:val="00282656"/>
    <w:rsid w:val="00283FB2"/>
    <w:rsid w:val="002873B2"/>
    <w:rsid w:val="00290AC7"/>
    <w:rsid w:val="00293127"/>
    <w:rsid w:val="00294966"/>
    <w:rsid w:val="00294BCF"/>
    <w:rsid w:val="00295B9C"/>
    <w:rsid w:val="00296509"/>
    <w:rsid w:val="00296928"/>
    <w:rsid w:val="00296B83"/>
    <w:rsid w:val="00297758"/>
    <w:rsid w:val="002A092C"/>
    <w:rsid w:val="002B3FE6"/>
    <w:rsid w:val="002B4015"/>
    <w:rsid w:val="002B490D"/>
    <w:rsid w:val="002B537F"/>
    <w:rsid w:val="002B5B01"/>
    <w:rsid w:val="002B5FE8"/>
    <w:rsid w:val="002B6495"/>
    <w:rsid w:val="002B78CE"/>
    <w:rsid w:val="002C0AFE"/>
    <w:rsid w:val="002C2993"/>
    <w:rsid w:val="002C2FB6"/>
    <w:rsid w:val="002C308C"/>
    <w:rsid w:val="002C3A47"/>
    <w:rsid w:val="002C709A"/>
    <w:rsid w:val="002C70CE"/>
    <w:rsid w:val="002D06F1"/>
    <w:rsid w:val="002D3533"/>
    <w:rsid w:val="002D616A"/>
    <w:rsid w:val="002E1F9D"/>
    <w:rsid w:val="002E38DE"/>
    <w:rsid w:val="002E442B"/>
    <w:rsid w:val="002E483B"/>
    <w:rsid w:val="002E5FA7"/>
    <w:rsid w:val="002F02F6"/>
    <w:rsid w:val="002F0303"/>
    <w:rsid w:val="002F08EE"/>
    <w:rsid w:val="002F2569"/>
    <w:rsid w:val="002F2E22"/>
    <w:rsid w:val="002F3309"/>
    <w:rsid w:val="002F408B"/>
    <w:rsid w:val="002F4F83"/>
    <w:rsid w:val="002F60F0"/>
    <w:rsid w:val="002F713C"/>
    <w:rsid w:val="003008CE"/>
    <w:rsid w:val="003009B7"/>
    <w:rsid w:val="00300E56"/>
    <w:rsid w:val="0030152C"/>
    <w:rsid w:val="00301AE5"/>
    <w:rsid w:val="00304315"/>
    <w:rsid w:val="0030469C"/>
    <w:rsid w:val="00304FA1"/>
    <w:rsid w:val="00305A95"/>
    <w:rsid w:val="00310EE2"/>
    <w:rsid w:val="003110D0"/>
    <w:rsid w:val="00314E4A"/>
    <w:rsid w:val="00315286"/>
    <w:rsid w:val="00315AAE"/>
    <w:rsid w:val="00320B19"/>
    <w:rsid w:val="00321CA6"/>
    <w:rsid w:val="003223EA"/>
    <w:rsid w:val="00322AC6"/>
    <w:rsid w:val="0032328E"/>
    <w:rsid w:val="00323763"/>
    <w:rsid w:val="00323C5F"/>
    <w:rsid w:val="003241E0"/>
    <w:rsid w:val="0032469F"/>
    <w:rsid w:val="00325F26"/>
    <w:rsid w:val="00326BF1"/>
    <w:rsid w:val="003307FC"/>
    <w:rsid w:val="00334C09"/>
    <w:rsid w:val="003352A3"/>
    <w:rsid w:val="00336B31"/>
    <w:rsid w:val="003402D8"/>
    <w:rsid w:val="00340351"/>
    <w:rsid w:val="0034237C"/>
    <w:rsid w:val="00342E45"/>
    <w:rsid w:val="00344D6F"/>
    <w:rsid w:val="00353F14"/>
    <w:rsid w:val="0035739F"/>
    <w:rsid w:val="00361414"/>
    <w:rsid w:val="00366AD8"/>
    <w:rsid w:val="00367D4A"/>
    <w:rsid w:val="003723D4"/>
    <w:rsid w:val="00375709"/>
    <w:rsid w:val="00380409"/>
    <w:rsid w:val="0038078C"/>
    <w:rsid w:val="00381905"/>
    <w:rsid w:val="00381983"/>
    <w:rsid w:val="0038259A"/>
    <w:rsid w:val="00384CC8"/>
    <w:rsid w:val="00385785"/>
    <w:rsid w:val="003871FD"/>
    <w:rsid w:val="003974FD"/>
    <w:rsid w:val="003A031E"/>
    <w:rsid w:val="003A1324"/>
    <w:rsid w:val="003A1E30"/>
    <w:rsid w:val="003A21D6"/>
    <w:rsid w:val="003A2829"/>
    <w:rsid w:val="003A3016"/>
    <w:rsid w:val="003A3041"/>
    <w:rsid w:val="003A4A2A"/>
    <w:rsid w:val="003A4BBE"/>
    <w:rsid w:val="003A4ECA"/>
    <w:rsid w:val="003A6FC6"/>
    <w:rsid w:val="003A7D1C"/>
    <w:rsid w:val="003A7F8F"/>
    <w:rsid w:val="003B304B"/>
    <w:rsid w:val="003B3146"/>
    <w:rsid w:val="003B5190"/>
    <w:rsid w:val="003C033F"/>
    <w:rsid w:val="003C03AA"/>
    <w:rsid w:val="003C08B4"/>
    <w:rsid w:val="003C2C16"/>
    <w:rsid w:val="003D1E82"/>
    <w:rsid w:val="003D393D"/>
    <w:rsid w:val="003D5852"/>
    <w:rsid w:val="003D6AA6"/>
    <w:rsid w:val="003E19F3"/>
    <w:rsid w:val="003E5B47"/>
    <w:rsid w:val="003E6351"/>
    <w:rsid w:val="003E6858"/>
    <w:rsid w:val="003F015E"/>
    <w:rsid w:val="003F0D68"/>
    <w:rsid w:val="003F1BFE"/>
    <w:rsid w:val="003F2B8C"/>
    <w:rsid w:val="003F410F"/>
    <w:rsid w:val="003F483E"/>
    <w:rsid w:val="003F622B"/>
    <w:rsid w:val="003F737C"/>
    <w:rsid w:val="003F756A"/>
    <w:rsid w:val="00400074"/>
    <w:rsid w:val="00400414"/>
    <w:rsid w:val="004013E6"/>
    <w:rsid w:val="0040249E"/>
    <w:rsid w:val="00404690"/>
    <w:rsid w:val="0040674F"/>
    <w:rsid w:val="00410E42"/>
    <w:rsid w:val="004112C6"/>
    <w:rsid w:val="0041446B"/>
    <w:rsid w:val="00414ECB"/>
    <w:rsid w:val="00415102"/>
    <w:rsid w:val="0041619A"/>
    <w:rsid w:val="00416367"/>
    <w:rsid w:val="004173E5"/>
    <w:rsid w:val="00422D92"/>
    <w:rsid w:val="004308CF"/>
    <w:rsid w:val="0043133A"/>
    <w:rsid w:val="0043481E"/>
    <w:rsid w:val="004364C7"/>
    <w:rsid w:val="0044071E"/>
    <w:rsid w:val="0044103F"/>
    <w:rsid w:val="0044329C"/>
    <w:rsid w:val="00444342"/>
    <w:rsid w:val="00446D33"/>
    <w:rsid w:val="004474A3"/>
    <w:rsid w:val="0044758E"/>
    <w:rsid w:val="004506A4"/>
    <w:rsid w:val="0045356F"/>
    <w:rsid w:val="00453C01"/>
    <w:rsid w:val="00453E24"/>
    <w:rsid w:val="00454ECB"/>
    <w:rsid w:val="004550CD"/>
    <w:rsid w:val="004565FB"/>
    <w:rsid w:val="00457456"/>
    <w:rsid w:val="004577D1"/>
    <w:rsid w:val="004577FE"/>
    <w:rsid w:val="00457B9C"/>
    <w:rsid w:val="00461021"/>
    <w:rsid w:val="0046164A"/>
    <w:rsid w:val="004628D2"/>
    <w:rsid w:val="00462B7C"/>
    <w:rsid w:val="00462DCD"/>
    <w:rsid w:val="004634D7"/>
    <w:rsid w:val="004648AD"/>
    <w:rsid w:val="00466CB9"/>
    <w:rsid w:val="00467F1A"/>
    <w:rsid w:val="00470129"/>
    <w:rsid w:val="004703A9"/>
    <w:rsid w:val="0047054C"/>
    <w:rsid w:val="004713E5"/>
    <w:rsid w:val="0047225B"/>
    <w:rsid w:val="004730CB"/>
    <w:rsid w:val="004734C9"/>
    <w:rsid w:val="004754A8"/>
    <w:rsid w:val="004760DE"/>
    <w:rsid w:val="004763D7"/>
    <w:rsid w:val="004805B9"/>
    <w:rsid w:val="00482103"/>
    <w:rsid w:val="0048219D"/>
    <w:rsid w:val="00482E89"/>
    <w:rsid w:val="00483934"/>
    <w:rsid w:val="004850C9"/>
    <w:rsid w:val="0048582D"/>
    <w:rsid w:val="00486946"/>
    <w:rsid w:val="00490226"/>
    <w:rsid w:val="004942C1"/>
    <w:rsid w:val="004A004E"/>
    <w:rsid w:val="004A24CF"/>
    <w:rsid w:val="004A4EFE"/>
    <w:rsid w:val="004B0637"/>
    <w:rsid w:val="004B1D4C"/>
    <w:rsid w:val="004B4612"/>
    <w:rsid w:val="004C0905"/>
    <w:rsid w:val="004C0D1B"/>
    <w:rsid w:val="004C19CE"/>
    <w:rsid w:val="004C341E"/>
    <w:rsid w:val="004C3D1D"/>
    <w:rsid w:val="004C3D84"/>
    <w:rsid w:val="004C55A5"/>
    <w:rsid w:val="004C55FC"/>
    <w:rsid w:val="004C58FC"/>
    <w:rsid w:val="004C6899"/>
    <w:rsid w:val="004C7913"/>
    <w:rsid w:val="004D189F"/>
    <w:rsid w:val="004D2BC4"/>
    <w:rsid w:val="004D4DC8"/>
    <w:rsid w:val="004D7851"/>
    <w:rsid w:val="004E4158"/>
    <w:rsid w:val="004E4A5A"/>
    <w:rsid w:val="004E4DD6"/>
    <w:rsid w:val="004E5729"/>
    <w:rsid w:val="004E5C71"/>
    <w:rsid w:val="004E7DF2"/>
    <w:rsid w:val="004F0B55"/>
    <w:rsid w:val="004F15A4"/>
    <w:rsid w:val="004F1CEB"/>
    <w:rsid w:val="004F2E62"/>
    <w:rsid w:val="004F3C76"/>
    <w:rsid w:val="004F3F40"/>
    <w:rsid w:val="004F48C1"/>
    <w:rsid w:val="004F55EF"/>
    <w:rsid w:val="004F5E36"/>
    <w:rsid w:val="00500169"/>
    <w:rsid w:val="00504B81"/>
    <w:rsid w:val="00507B47"/>
    <w:rsid w:val="00507BEF"/>
    <w:rsid w:val="00507CC9"/>
    <w:rsid w:val="0051120F"/>
    <w:rsid w:val="005119A5"/>
    <w:rsid w:val="0051549C"/>
    <w:rsid w:val="00515E5E"/>
    <w:rsid w:val="0051628D"/>
    <w:rsid w:val="00516AAC"/>
    <w:rsid w:val="00516ED4"/>
    <w:rsid w:val="00520FE7"/>
    <w:rsid w:val="00523168"/>
    <w:rsid w:val="005242B4"/>
    <w:rsid w:val="00526881"/>
    <w:rsid w:val="00526E33"/>
    <w:rsid w:val="005278B7"/>
    <w:rsid w:val="00530723"/>
    <w:rsid w:val="00532016"/>
    <w:rsid w:val="005346C8"/>
    <w:rsid w:val="00535408"/>
    <w:rsid w:val="00535F2A"/>
    <w:rsid w:val="00541E5D"/>
    <w:rsid w:val="00543E7D"/>
    <w:rsid w:val="00547A68"/>
    <w:rsid w:val="00547CA8"/>
    <w:rsid w:val="00547EBB"/>
    <w:rsid w:val="00550DEA"/>
    <w:rsid w:val="005531C9"/>
    <w:rsid w:val="005539D2"/>
    <w:rsid w:val="00566541"/>
    <w:rsid w:val="005667BD"/>
    <w:rsid w:val="00567A31"/>
    <w:rsid w:val="00570C43"/>
    <w:rsid w:val="00570E21"/>
    <w:rsid w:val="00570FF1"/>
    <w:rsid w:val="00572559"/>
    <w:rsid w:val="005726C8"/>
    <w:rsid w:val="00572821"/>
    <w:rsid w:val="0057740D"/>
    <w:rsid w:val="00577DC0"/>
    <w:rsid w:val="0058124A"/>
    <w:rsid w:val="0058633E"/>
    <w:rsid w:val="005864C3"/>
    <w:rsid w:val="005927FD"/>
    <w:rsid w:val="005934CB"/>
    <w:rsid w:val="005939B5"/>
    <w:rsid w:val="00595AE3"/>
    <w:rsid w:val="00595FF2"/>
    <w:rsid w:val="005964B2"/>
    <w:rsid w:val="005A2DC3"/>
    <w:rsid w:val="005A3863"/>
    <w:rsid w:val="005A4211"/>
    <w:rsid w:val="005A543E"/>
    <w:rsid w:val="005A69FD"/>
    <w:rsid w:val="005A6A90"/>
    <w:rsid w:val="005A78BA"/>
    <w:rsid w:val="005A7EF2"/>
    <w:rsid w:val="005B04E8"/>
    <w:rsid w:val="005B0991"/>
    <w:rsid w:val="005B2110"/>
    <w:rsid w:val="005B48BD"/>
    <w:rsid w:val="005B61E6"/>
    <w:rsid w:val="005B72D7"/>
    <w:rsid w:val="005C0033"/>
    <w:rsid w:val="005C10D4"/>
    <w:rsid w:val="005C21D1"/>
    <w:rsid w:val="005C76F4"/>
    <w:rsid w:val="005C77E1"/>
    <w:rsid w:val="005D0379"/>
    <w:rsid w:val="005D668A"/>
    <w:rsid w:val="005D6A2F"/>
    <w:rsid w:val="005D7044"/>
    <w:rsid w:val="005E0E17"/>
    <w:rsid w:val="005E1A82"/>
    <w:rsid w:val="005E28C9"/>
    <w:rsid w:val="005E43F2"/>
    <w:rsid w:val="005E4CD9"/>
    <w:rsid w:val="005E794C"/>
    <w:rsid w:val="005E7C48"/>
    <w:rsid w:val="005F0A28"/>
    <w:rsid w:val="005F0E5E"/>
    <w:rsid w:val="005F2195"/>
    <w:rsid w:val="005F2D3A"/>
    <w:rsid w:val="005F6627"/>
    <w:rsid w:val="005F73DA"/>
    <w:rsid w:val="00600535"/>
    <w:rsid w:val="00600CCE"/>
    <w:rsid w:val="0060298A"/>
    <w:rsid w:val="00603910"/>
    <w:rsid w:val="006048AE"/>
    <w:rsid w:val="0060522F"/>
    <w:rsid w:val="006071B7"/>
    <w:rsid w:val="00610CD6"/>
    <w:rsid w:val="00612069"/>
    <w:rsid w:val="0061218E"/>
    <w:rsid w:val="00614D09"/>
    <w:rsid w:val="006161F2"/>
    <w:rsid w:val="00617DBF"/>
    <w:rsid w:val="0062090B"/>
    <w:rsid w:val="00620DEE"/>
    <w:rsid w:val="00621965"/>
    <w:rsid w:val="00621F92"/>
    <w:rsid w:val="0062280A"/>
    <w:rsid w:val="006251F0"/>
    <w:rsid w:val="00625639"/>
    <w:rsid w:val="00627E13"/>
    <w:rsid w:val="00631152"/>
    <w:rsid w:val="00631672"/>
    <w:rsid w:val="00631B33"/>
    <w:rsid w:val="00632CE9"/>
    <w:rsid w:val="00632E3B"/>
    <w:rsid w:val="00636841"/>
    <w:rsid w:val="00636FB9"/>
    <w:rsid w:val="0064184D"/>
    <w:rsid w:val="006422CC"/>
    <w:rsid w:val="00645727"/>
    <w:rsid w:val="00646772"/>
    <w:rsid w:val="006521B1"/>
    <w:rsid w:val="00652B8C"/>
    <w:rsid w:val="006534FF"/>
    <w:rsid w:val="00660E3E"/>
    <w:rsid w:val="00662E74"/>
    <w:rsid w:val="006646FE"/>
    <w:rsid w:val="00664BDE"/>
    <w:rsid w:val="00671838"/>
    <w:rsid w:val="0067335A"/>
    <w:rsid w:val="00675190"/>
    <w:rsid w:val="00677E99"/>
    <w:rsid w:val="00680C23"/>
    <w:rsid w:val="00684F1B"/>
    <w:rsid w:val="00686913"/>
    <w:rsid w:val="00687CDC"/>
    <w:rsid w:val="006919DD"/>
    <w:rsid w:val="00693158"/>
    <w:rsid w:val="00693766"/>
    <w:rsid w:val="00695499"/>
    <w:rsid w:val="00695957"/>
    <w:rsid w:val="00695D48"/>
    <w:rsid w:val="006A2A11"/>
    <w:rsid w:val="006A2DD8"/>
    <w:rsid w:val="006A3281"/>
    <w:rsid w:val="006A6F01"/>
    <w:rsid w:val="006A7FDA"/>
    <w:rsid w:val="006B03C0"/>
    <w:rsid w:val="006B0ABB"/>
    <w:rsid w:val="006B22AA"/>
    <w:rsid w:val="006B363E"/>
    <w:rsid w:val="006B388C"/>
    <w:rsid w:val="006B4888"/>
    <w:rsid w:val="006B4B4E"/>
    <w:rsid w:val="006B5565"/>
    <w:rsid w:val="006B613D"/>
    <w:rsid w:val="006B66E7"/>
    <w:rsid w:val="006B72FC"/>
    <w:rsid w:val="006B781F"/>
    <w:rsid w:val="006B78C9"/>
    <w:rsid w:val="006C0EC8"/>
    <w:rsid w:val="006C1E45"/>
    <w:rsid w:val="006C216A"/>
    <w:rsid w:val="006C2BF2"/>
    <w:rsid w:val="006C2E45"/>
    <w:rsid w:val="006C359C"/>
    <w:rsid w:val="006C4E50"/>
    <w:rsid w:val="006C5579"/>
    <w:rsid w:val="006C5DA0"/>
    <w:rsid w:val="006C702F"/>
    <w:rsid w:val="006D0CD9"/>
    <w:rsid w:val="006D336D"/>
    <w:rsid w:val="006D3A7B"/>
    <w:rsid w:val="006D3AA9"/>
    <w:rsid w:val="006D6E8B"/>
    <w:rsid w:val="006D7542"/>
    <w:rsid w:val="006E0724"/>
    <w:rsid w:val="006E2211"/>
    <w:rsid w:val="006E3424"/>
    <w:rsid w:val="006E3520"/>
    <w:rsid w:val="006E378B"/>
    <w:rsid w:val="006E3996"/>
    <w:rsid w:val="006E5C7A"/>
    <w:rsid w:val="006E6D16"/>
    <w:rsid w:val="006E6E86"/>
    <w:rsid w:val="006E7177"/>
    <w:rsid w:val="006E737D"/>
    <w:rsid w:val="006F163D"/>
    <w:rsid w:val="006F27DF"/>
    <w:rsid w:val="006F3B2C"/>
    <w:rsid w:val="006F533A"/>
    <w:rsid w:val="006F617B"/>
    <w:rsid w:val="00702EB5"/>
    <w:rsid w:val="00703969"/>
    <w:rsid w:val="00704867"/>
    <w:rsid w:val="00706DCF"/>
    <w:rsid w:val="0071136E"/>
    <w:rsid w:val="007114D1"/>
    <w:rsid w:val="00712989"/>
    <w:rsid w:val="007129C3"/>
    <w:rsid w:val="007130B6"/>
    <w:rsid w:val="00713973"/>
    <w:rsid w:val="00713C01"/>
    <w:rsid w:val="0071536B"/>
    <w:rsid w:val="00720A0F"/>
    <w:rsid w:val="00720A24"/>
    <w:rsid w:val="00726212"/>
    <w:rsid w:val="00730CBF"/>
    <w:rsid w:val="00731A6C"/>
    <w:rsid w:val="00732386"/>
    <w:rsid w:val="007324F8"/>
    <w:rsid w:val="00733DE6"/>
    <w:rsid w:val="0073514D"/>
    <w:rsid w:val="00736CFB"/>
    <w:rsid w:val="00737CD0"/>
    <w:rsid w:val="00743930"/>
    <w:rsid w:val="007447F3"/>
    <w:rsid w:val="00745629"/>
    <w:rsid w:val="00750FB5"/>
    <w:rsid w:val="0075308D"/>
    <w:rsid w:val="007534B4"/>
    <w:rsid w:val="00754917"/>
    <w:rsid w:val="0075499F"/>
    <w:rsid w:val="00755706"/>
    <w:rsid w:val="00760C82"/>
    <w:rsid w:val="00763638"/>
    <w:rsid w:val="00763E4D"/>
    <w:rsid w:val="00765CCE"/>
    <w:rsid w:val="007661C8"/>
    <w:rsid w:val="007702FC"/>
    <w:rsid w:val="0077098D"/>
    <w:rsid w:val="0077228F"/>
    <w:rsid w:val="007724E2"/>
    <w:rsid w:val="00773015"/>
    <w:rsid w:val="00773226"/>
    <w:rsid w:val="00774F5D"/>
    <w:rsid w:val="007769EC"/>
    <w:rsid w:val="00776DC5"/>
    <w:rsid w:val="0078340A"/>
    <w:rsid w:val="007837AD"/>
    <w:rsid w:val="00784366"/>
    <w:rsid w:val="00785FB0"/>
    <w:rsid w:val="0079132A"/>
    <w:rsid w:val="00791781"/>
    <w:rsid w:val="007931FA"/>
    <w:rsid w:val="00795D3F"/>
    <w:rsid w:val="00797FF9"/>
    <w:rsid w:val="007A1C01"/>
    <w:rsid w:val="007A22C5"/>
    <w:rsid w:val="007A4861"/>
    <w:rsid w:val="007A5F37"/>
    <w:rsid w:val="007A65D2"/>
    <w:rsid w:val="007A78E9"/>
    <w:rsid w:val="007A7BBA"/>
    <w:rsid w:val="007B0C50"/>
    <w:rsid w:val="007B3634"/>
    <w:rsid w:val="007B48F9"/>
    <w:rsid w:val="007B5124"/>
    <w:rsid w:val="007B77F4"/>
    <w:rsid w:val="007B79C2"/>
    <w:rsid w:val="007C0EB9"/>
    <w:rsid w:val="007C1A43"/>
    <w:rsid w:val="007C3D4C"/>
    <w:rsid w:val="007C41BB"/>
    <w:rsid w:val="007C48D6"/>
    <w:rsid w:val="007C4D3E"/>
    <w:rsid w:val="007C612D"/>
    <w:rsid w:val="007D0951"/>
    <w:rsid w:val="007D0CBF"/>
    <w:rsid w:val="007D297C"/>
    <w:rsid w:val="007D36E7"/>
    <w:rsid w:val="007D4EFB"/>
    <w:rsid w:val="007D584D"/>
    <w:rsid w:val="007D792B"/>
    <w:rsid w:val="007E2892"/>
    <w:rsid w:val="007E2B50"/>
    <w:rsid w:val="007E2CF2"/>
    <w:rsid w:val="007E2EBD"/>
    <w:rsid w:val="007E551B"/>
    <w:rsid w:val="007E5F83"/>
    <w:rsid w:val="007E6707"/>
    <w:rsid w:val="007E6925"/>
    <w:rsid w:val="007F08C7"/>
    <w:rsid w:val="0080013E"/>
    <w:rsid w:val="008008B7"/>
    <w:rsid w:val="00800B96"/>
    <w:rsid w:val="00806ABF"/>
    <w:rsid w:val="00807626"/>
    <w:rsid w:val="0081006F"/>
    <w:rsid w:val="00811610"/>
    <w:rsid w:val="00812828"/>
    <w:rsid w:val="008130EA"/>
    <w:rsid w:val="00813288"/>
    <w:rsid w:val="00814B7D"/>
    <w:rsid w:val="0081530F"/>
    <w:rsid w:val="008168FC"/>
    <w:rsid w:val="00817082"/>
    <w:rsid w:val="00827BA1"/>
    <w:rsid w:val="00830357"/>
    <w:rsid w:val="00830996"/>
    <w:rsid w:val="00834127"/>
    <w:rsid w:val="008345F1"/>
    <w:rsid w:val="008358B3"/>
    <w:rsid w:val="00836568"/>
    <w:rsid w:val="00840BC0"/>
    <w:rsid w:val="00840D8C"/>
    <w:rsid w:val="0084480E"/>
    <w:rsid w:val="0084494B"/>
    <w:rsid w:val="00844F0C"/>
    <w:rsid w:val="00850B87"/>
    <w:rsid w:val="00850F80"/>
    <w:rsid w:val="00851230"/>
    <w:rsid w:val="00852188"/>
    <w:rsid w:val="00853348"/>
    <w:rsid w:val="00853760"/>
    <w:rsid w:val="00853B63"/>
    <w:rsid w:val="00853D5D"/>
    <w:rsid w:val="00853FED"/>
    <w:rsid w:val="00855A9F"/>
    <w:rsid w:val="008577F0"/>
    <w:rsid w:val="0086082D"/>
    <w:rsid w:val="0086149A"/>
    <w:rsid w:val="00865B07"/>
    <w:rsid w:val="008667EA"/>
    <w:rsid w:val="0086788D"/>
    <w:rsid w:val="00870E43"/>
    <w:rsid w:val="00872B90"/>
    <w:rsid w:val="0087508B"/>
    <w:rsid w:val="0087637F"/>
    <w:rsid w:val="00876455"/>
    <w:rsid w:val="008805F2"/>
    <w:rsid w:val="00881291"/>
    <w:rsid w:val="008819FD"/>
    <w:rsid w:val="00883A91"/>
    <w:rsid w:val="008841BB"/>
    <w:rsid w:val="008858A1"/>
    <w:rsid w:val="00885FBE"/>
    <w:rsid w:val="00892AD5"/>
    <w:rsid w:val="00893575"/>
    <w:rsid w:val="00895FC9"/>
    <w:rsid w:val="00896567"/>
    <w:rsid w:val="0089739A"/>
    <w:rsid w:val="008A02D0"/>
    <w:rsid w:val="008A0A5F"/>
    <w:rsid w:val="008A1512"/>
    <w:rsid w:val="008A18C3"/>
    <w:rsid w:val="008A2451"/>
    <w:rsid w:val="008A5BDF"/>
    <w:rsid w:val="008A5D24"/>
    <w:rsid w:val="008A652F"/>
    <w:rsid w:val="008B0219"/>
    <w:rsid w:val="008B3BA0"/>
    <w:rsid w:val="008B46C9"/>
    <w:rsid w:val="008B5923"/>
    <w:rsid w:val="008B671B"/>
    <w:rsid w:val="008B7C03"/>
    <w:rsid w:val="008C00FB"/>
    <w:rsid w:val="008C10A4"/>
    <w:rsid w:val="008C1639"/>
    <w:rsid w:val="008C1960"/>
    <w:rsid w:val="008C257C"/>
    <w:rsid w:val="008C25F2"/>
    <w:rsid w:val="008C3784"/>
    <w:rsid w:val="008C600B"/>
    <w:rsid w:val="008D1028"/>
    <w:rsid w:val="008D2CCD"/>
    <w:rsid w:val="008D32B9"/>
    <w:rsid w:val="008D433B"/>
    <w:rsid w:val="008D46BF"/>
    <w:rsid w:val="008D4A16"/>
    <w:rsid w:val="008D7DA8"/>
    <w:rsid w:val="008D7EB0"/>
    <w:rsid w:val="008E0F3A"/>
    <w:rsid w:val="008E1BC9"/>
    <w:rsid w:val="008E566E"/>
    <w:rsid w:val="008E6DEA"/>
    <w:rsid w:val="008E7C13"/>
    <w:rsid w:val="008F14E7"/>
    <w:rsid w:val="008F298F"/>
    <w:rsid w:val="008F2E82"/>
    <w:rsid w:val="008F3129"/>
    <w:rsid w:val="008F3904"/>
    <w:rsid w:val="008F59DC"/>
    <w:rsid w:val="0090161A"/>
    <w:rsid w:val="00901EB6"/>
    <w:rsid w:val="00904C62"/>
    <w:rsid w:val="00907116"/>
    <w:rsid w:val="00911A18"/>
    <w:rsid w:val="009126C6"/>
    <w:rsid w:val="00913227"/>
    <w:rsid w:val="00913FE9"/>
    <w:rsid w:val="00917944"/>
    <w:rsid w:val="009208CE"/>
    <w:rsid w:val="00920A2F"/>
    <w:rsid w:val="00922BA8"/>
    <w:rsid w:val="00922EB2"/>
    <w:rsid w:val="0092453D"/>
    <w:rsid w:val="00924737"/>
    <w:rsid w:val="00924DAC"/>
    <w:rsid w:val="00925169"/>
    <w:rsid w:val="00927058"/>
    <w:rsid w:val="00930C1E"/>
    <w:rsid w:val="00933354"/>
    <w:rsid w:val="009350EC"/>
    <w:rsid w:val="009363C8"/>
    <w:rsid w:val="009367CE"/>
    <w:rsid w:val="00941AFD"/>
    <w:rsid w:val="00942750"/>
    <w:rsid w:val="00944CE3"/>
    <w:rsid w:val="009450CE"/>
    <w:rsid w:val="009459BB"/>
    <w:rsid w:val="00945E5B"/>
    <w:rsid w:val="00947179"/>
    <w:rsid w:val="00951523"/>
    <w:rsid w:val="0095164B"/>
    <w:rsid w:val="00954090"/>
    <w:rsid w:val="009573E7"/>
    <w:rsid w:val="0095789E"/>
    <w:rsid w:val="00963BE8"/>
    <w:rsid w:val="00963BF1"/>
    <w:rsid w:val="00963E05"/>
    <w:rsid w:val="00964073"/>
    <w:rsid w:val="00964A45"/>
    <w:rsid w:val="00966A1C"/>
    <w:rsid w:val="00967843"/>
    <w:rsid w:val="00967D54"/>
    <w:rsid w:val="0097014A"/>
    <w:rsid w:val="00971028"/>
    <w:rsid w:val="00973B4D"/>
    <w:rsid w:val="00973EF7"/>
    <w:rsid w:val="00983096"/>
    <w:rsid w:val="0098451A"/>
    <w:rsid w:val="00984A59"/>
    <w:rsid w:val="0098655E"/>
    <w:rsid w:val="00986B2C"/>
    <w:rsid w:val="00990186"/>
    <w:rsid w:val="009914E7"/>
    <w:rsid w:val="00991907"/>
    <w:rsid w:val="009925ED"/>
    <w:rsid w:val="00993B84"/>
    <w:rsid w:val="0099490C"/>
    <w:rsid w:val="009955D9"/>
    <w:rsid w:val="00996483"/>
    <w:rsid w:val="00996F5A"/>
    <w:rsid w:val="00996FE1"/>
    <w:rsid w:val="009A2C78"/>
    <w:rsid w:val="009A6CD6"/>
    <w:rsid w:val="009A7F6A"/>
    <w:rsid w:val="009B041A"/>
    <w:rsid w:val="009B2351"/>
    <w:rsid w:val="009B31F7"/>
    <w:rsid w:val="009B70D0"/>
    <w:rsid w:val="009B7B18"/>
    <w:rsid w:val="009C17AB"/>
    <w:rsid w:val="009C1CFA"/>
    <w:rsid w:val="009C2461"/>
    <w:rsid w:val="009C2474"/>
    <w:rsid w:val="009C37C3"/>
    <w:rsid w:val="009C418F"/>
    <w:rsid w:val="009C7C86"/>
    <w:rsid w:val="009D2497"/>
    <w:rsid w:val="009D2FF7"/>
    <w:rsid w:val="009D3AAF"/>
    <w:rsid w:val="009D555E"/>
    <w:rsid w:val="009D64D1"/>
    <w:rsid w:val="009E2BA6"/>
    <w:rsid w:val="009E3310"/>
    <w:rsid w:val="009E4BFA"/>
    <w:rsid w:val="009E7884"/>
    <w:rsid w:val="009E788A"/>
    <w:rsid w:val="009E7F95"/>
    <w:rsid w:val="009F0E08"/>
    <w:rsid w:val="009F34CA"/>
    <w:rsid w:val="009F3B18"/>
    <w:rsid w:val="009F6C3F"/>
    <w:rsid w:val="009F7288"/>
    <w:rsid w:val="009F7C5A"/>
    <w:rsid w:val="00A00197"/>
    <w:rsid w:val="00A05B6D"/>
    <w:rsid w:val="00A06FCF"/>
    <w:rsid w:val="00A1763D"/>
    <w:rsid w:val="00A17CEC"/>
    <w:rsid w:val="00A21EE7"/>
    <w:rsid w:val="00A23680"/>
    <w:rsid w:val="00A27EF0"/>
    <w:rsid w:val="00A31A7B"/>
    <w:rsid w:val="00A35180"/>
    <w:rsid w:val="00A35E35"/>
    <w:rsid w:val="00A40605"/>
    <w:rsid w:val="00A4063A"/>
    <w:rsid w:val="00A4163E"/>
    <w:rsid w:val="00A42361"/>
    <w:rsid w:val="00A46CFF"/>
    <w:rsid w:val="00A504DD"/>
    <w:rsid w:val="00A50B20"/>
    <w:rsid w:val="00A51390"/>
    <w:rsid w:val="00A529D2"/>
    <w:rsid w:val="00A6034A"/>
    <w:rsid w:val="00A60D13"/>
    <w:rsid w:val="00A6362F"/>
    <w:rsid w:val="00A64E9A"/>
    <w:rsid w:val="00A664B5"/>
    <w:rsid w:val="00A6799A"/>
    <w:rsid w:val="00A70183"/>
    <w:rsid w:val="00A7223D"/>
    <w:rsid w:val="00A72745"/>
    <w:rsid w:val="00A7642C"/>
    <w:rsid w:val="00A76EFC"/>
    <w:rsid w:val="00A873D9"/>
    <w:rsid w:val="00A87D50"/>
    <w:rsid w:val="00A91010"/>
    <w:rsid w:val="00A922FB"/>
    <w:rsid w:val="00A931CD"/>
    <w:rsid w:val="00A94EEB"/>
    <w:rsid w:val="00A94F02"/>
    <w:rsid w:val="00A97F29"/>
    <w:rsid w:val="00AA2266"/>
    <w:rsid w:val="00AA702E"/>
    <w:rsid w:val="00AA7D26"/>
    <w:rsid w:val="00AB0964"/>
    <w:rsid w:val="00AB1885"/>
    <w:rsid w:val="00AB244E"/>
    <w:rsid w:val="00AB3A0B"/>
    <w:rsid w:val="00AB5011"/>
    <w:rsid w:val="00AC09AB"/>
    <w:rsid w:val="00AC103A"/>
    <w:rsid w:val="00AC1E20"/>
    <w:rsid w:val="00AC219A"/>
    <w:rsid w:val="00AC2842"/>
    <w:rsid w:val="00AC49FE"/>
    <w:rsid w:val="00AC7368"/>
    <w:rsid w:val="00AD137C"/>
    <w:rsid w:val="00AD16B9"/>
    <w:rsid w:val="00AD215A"/>
    <w:rsid w:val="00AD22FD"/>
    <w:rsid w:val="00AD51DB"/>
    <w:rsid w:val="00AD6136"/>
    <w:rsid w:val="00AD734B"/>
    <w:rsid w:val="00AD7D5F"/>
    <w:rsid w:val="00AE1BEB"/>
    <w:rsid w:val="00AE2C9B"/>
    <w:rsid w:val="00AE377D"/>
    <w:rsid w:val="00AE3A77"/>
    <w:rsid w:val="00AE5FC1"/>
    <w:rsid w:val="00AE600D"/>
    <w:rsid w:val="00AE66D1"/>
    <w:rsid w:val="00AE7F0D"/>
    <w:rsid w:val="00AF0EBA"/>
    <w:rsid w:val="00AF2593"/>
    <w:rsid w:val="00AF551D"/>
    <w:rsid w:val="00AF5A9F"/>
    <w:rsid w:val="00AF6763"/>
    <w:rsid w:val="00AF6F20"/>
    <w:rsid w:val="00AF7D13"/>
    <w:rsid w:val="00B02C8A"/>
    <w:rsid w:val="00B032C0"/>
    <w:rsid w:val="00B057EE"/>
    <w:rsid w:val="00B05C79"/>
    <w:rsid w:val="00B07ADD"/>
    <w:rsid w:val="00B1253F"/>
    <w:rsid w:val="00B1375B"/>
    <w:rsid w:val="00B14F19"/>
    <w:rsid w:val="00B1544D"/>
    <w:rsid w:val="00B177EC"/>
    <w:rsid w:val="00B17FBD"/>
    <w:rsid w:val="00B2168E"/>
    <w:rsid w:val="00B21D98"/>
    <w:rsid w:val="00B25C3C"/>
    <w:rsid w:val="00B315A6"/>
    <w:rsid w:val="00B31813"/>
    <w:rsid w:val="00B33365"/>
    <w:rsid w:val="00B333EA"/>
    <w:rsid w:val="00B33593"/>
    <w:rsid w:val="00B33E93"/>
    <w:rsid w:val="00B3633B"/>
    <w:rsid w:val="00B37B56"/>
    <w:rsid w:val="00B40BAE"/>
    <w:rsid w:val="00B41958"/>
    <w:rsid w:val="00B44357"/>
    <w:rsid w:val="00B45C8F"/>
    <w:rsid w:val="00B45F8A"/>
    <w:rsid w:val="00B4642D"/>
    <w:rsid w:val="00B47D14"/>
    <w:rsid w:val="00B52B85"/>
    <w:rsid w:val="00B5421D"/>
    <w:rsid w:val="00B542C6"/>
    <w:rsid w:val="00B54DCF"/>
    <w:rsid w:val="00B57026"/>
    <w:rsid w:val="00B572E9"/>
    <w:rsid w:val="00B578C5"/>
    <w:rsid w:val="00B57B36"/>
    <w:rsid w:val="00B57E6F"/>
    <w:rsid w:val="00B62A21"/>
    <w:rsid w:val="00B6681C"/>
    <w:rsid w:val="00B701F4"/>
    <w:rsid w:val="00B752B2"/>
    <w:rsid w:val="00B76889"/>
    <w:rsid w:val="00B7739A"/>
    <w:rsid w:val="00B8016C"/>
    <w:rsid w:val="00B80CC5"/>
    <w:rsid w:val="00B81A8F"/>
    <w:rsid w:val="00B81FD1"/>
    <w:rsid w:val="00B83562"/>
    <w:rsid w:val="00B83CE8"/>
    <w:rsid w:val="00B8499A"/>
    <w:rsid w:val="00B8686D"/>
    <w:rsid w:val="00B8742E"/>
    <w:rsid w:val="00B91EFD"/>
    <w:rsid w:val="00B92BD0"/>
    <w:rsid w:val="00B93F69"/>
    <w:rsid w:val="00B97E6B"/>
    <w:rsid w:val="00BA1F6D"/>
    <w:rsid w:val="00BA2A4D"/>
    <w:rsid w:val="00BA2D15"/>
    <w:rsid w:val="00BA2F08"/>
    <w:rsid w:val="00BA4F6C"/>
    <w:rsid w:val="00BA56AA"/>
    <w:rsid w:val="00BA615E"/>
    <w:rsid w:val="00BA727B"/>
    <w:rsid w:val="00BB024A"/>
    <w:rsid w:val="00BB17F7"/>
    <w:rsid w:val="00BB1DDC"/>
    <w:rsid w:val="00BB7D81"/>
    <w:rsid w:val="00BC17F4"/>
    <w:rsid w:val="00BC30C9"/>
    <w:rsid w:val="00BC545A"/>
    <w:rsid w:val="00BC5FC4"/>
    <w:rsid w:val="00BC6C99"/>
    <w:rsid w:val="00BD034A"/>
    <w:rsid w:val="00BD077D"/>
    <w:rsid w:val="00BD2B09"/>
    <w:rsid w:val="00BD5E4F"/>
    <w:rsid w:val="00BD7FD4"/>
    <w:rsid w:val="00BE0444"/>
    <w:rsid w:val="00BE2050"/>
    <w:rsid w:val="00BE2A81"/>
    <w:rsid w:val="00BE3E58"/>
    <w:rsid w:val="00BE444B"/>
    <w:rsid w:val="00BE4742"/>
    <w:rsid w:val="00BE5A7E"/>
    <w:rsid w:val="00BE6A24"/>
    <w:rsid w:val="00BE74A8"/>
    <w:rsid w:val="00BE7739"/>
    <w:rsid w:val="00BE780C"/>
    <w:rsid w:val="00BF24AB"/>
    <w:rsid w:val="00BF38D1"/>
    <w:rsid w:val="00BF5153"/>
    <w:rsid w:val="00BF7F9F"/>
    <w:rsid w:val="00C00B7C"/>
    <w:rsid w:val="00C01616"/>
    <w:rsid w:val="00C0162B"/>
    <w:rsid w:val="00C01DC6"/>
    <w:rsid w:val="00C02641"/>
    <w:rsid w:val="00C040BD"/>
    <w:rsid w:val="00C0563D"/>
    <w:rsid w:val="00C065A9"/>
    <w:rsid w:val="00C068ED"/>
    <w:rsid w:val="00C07531"/>
    <w:rsid w:val="00C07701"/>
    <w:rsid w:val="00C138F5"/>
    <w:rsid w:val="00C14B54"/>
    <w:rsid w:val="00C211AC"/>
    <w:rsid w:val="00C22E0C"/>
    <w:rsid w:val="00C23543"/>
    <w:rsid w:val="00C26402"/>
    <w:rsid w:val="00C265A3"/>
    <w:rsid w:val="00C279AA"/>
    <w:rsid w:val="00C31526"/>
    <w:rsid w:val="00C3423F"/>
    <w:rsid w:val="00C345B1"/>
    <w:rsid w:val="00C3469F"/>
    <w:rsid w:val="00C34999"/>
    <w:rsid w:val="00C354A9"/>
    <w:rsid w:val="00C357B4"/>
    <w:rsid w:val="00C358EA"/>
    <w:rsid w:val="00C362A8"/>
    <w:rsid w:val="00C369C0"/>
    <w:rsid w:val="00C36D11"/>
    <w:rsid w:val="00C40142"/>
    <w:rsid w:val="00C4086E"/>
    <w:rsid w:val="00C40931"/>
    <w:rsid w:val="00C40A10"/>
    <w:rsid w:val="00C41C58"/>
    <w:rsid w:val="00C4220A"/>
    <w:rsid w:val="00C434D6"/>
    <w:rsid w:val="00C45B83"/>
    <w:rsid w:val="00C47272"/>
    <w:rsid w:val="00C50FCE"/>
    <w:rsid w:val="00C51905"/>
    <w:rsid w:val="00C5237F"/>
    <w:rsid w:val="00C52C3C"/>
    <w:rsid w:val="00C53313"/>
    <w:rsid w:val="00C53BD2"/>
    <w:rsid w:val="00C5673B"/>
    <w:rsid w:val="00C57182"/>
    <w:rsid w:val="00C57379"/>
    <w:rsid w:val="00C57400"/>
    <w:rsid w:val="00C57863"/>
    <w:rsid w:val="00C57E06"/>
    <w:rsid w:val="00C6025B"/>
    <w:rsid w:val="00C60FB6"/>
    <w:rsid w:val="00C61EA3"/>
    <w:rsid w:val="00C640AF"/>
    <w:rsid w:val="00C64239"/>
    <w:rsid w:val="00C64F68"/>
    <w:rsid w:val="00C655FD"/>
    <w:rsid w:val="00C670DF"/>
    <w:rsid w:val="00C67E5D"/>
    <w:rsid w:val="00C7223C"/>
    <w:rsid w:val="00C730C2"/>
    <w:rsid w:val="00C73B70"/>
    <w:rsid w:val="00C75407"/>
    <w:rsid w:val="00C76780"/>
    <w:rsid w:val="00C8041E"/>
    <w:rsid w:val="00C80555"/>
    <w:rsid w:val="00C81C71"/>
    <w:rsid w:val="00C84EEB"/>
    <w:rsid w:val="00C862E0"/>
    <w:rsid w:val="00C86617"/>
    <w:rsid w:val="00C870A8"/>
    <w:rsid w:val="00C87CCE"/>
    <w:rsid w:val="00C94434"/>
    <w:rsid w:val="00C9472B"/>
    <w:rsid w:val="00C95237"/>
    <w:rsid w:val="00C96E42"/>
    <w:rsid w:val="00C97B1D"/>
    <w:rsid w:val="00CA0985"/>
    <w:rsid w:val="00CA0D4A"/>
    <w:rsid w:val="00CA0D75"/>
    <w:rsid w:val="00CA1B7B"/>
    <w:rsid w:val="00CA1C95"/>
    <w:rsid w:val="00CA4425"/>
    <w:rsid w:val="00CA5A9C"/>
    <w:rsid w:val="00CB0A62"/>
    <w:rsid w:val="00CB1492"/>
    <w:rsid w:val="00CB1650"/>
    <w:rsid w:val="00CB17E3"/>
    <w:rsid w:val="00CB278D"/>
    <w:rsid w:val="00CB51D3"/>
    <w:rsid w:val="00CB732C"/>
    <w:rsid w:val="00CC0920"/>
    <w:rsid w:val="00CC252D"/>
    <w:rsid w:val="00CC2FC4"/>
    <w:rsid w:val="00CC3317"/>
    <w:rsid w:val="00CC4C20"/>
    <w:rsid w:val="00CC5555"/>
    <w:rsid w:val="00CD12E6"/>
    <w:rsid w:val="00CD25F6"/>
    <w:rsid w:val="00CD3517"/>
    <w:rsid w:val="00CD48B3"/>
    <w:rsid w:val="00CD5FE2"/>
    <w:rsid w:val="00CD64B8"/>
    <w:rsid w:val="00CD6500"/>
    <w:rsid w:val="00CD795B"/>
    <w:rsid w:val="00CE322C"/>
    <w:rsid w:val="00CE46BD"/>
    <w:rsid w:val="00CE5884"/>
    <w:rsid w:val="00CE6444"/>
    <w:rsid w:val="00CE6C52"/>
    <w:rsid w:val="00CE7C68"/>
    <w:rsid w:val="00CF11BC"/>
    <w:rsid w:val="00CF1907"/>
    <w:rsid w:val="00CF59A7"/>
    <w:rsid w:val="00CF5E45"/>
    <w:rsid w:val="00CF60A4"/>
    <w:rsid w:val="00CF6EA7"/>
    <w:rsid w:val="00CF7EE5"/>
    <w:rsid w:val="00D01035"/>
    <w:rsid w:val="00D01C30"/>
    <w:rsid w:val="00D01D4A"/>
    <w:rsid w:val="00D02B4C"/>
    <w:rsid w:val="00D040C4"/>
    <w:rsid w:val="00D05A8E"/>
    <w:rsid w:val="00D061DA"/>
    <w:rsid w:val="00D074F2"/>
    <w:rsid w:val="00D114AD"/>
    <w:rsid w:val="00D11A15"/>
    <w:rsid w:val="00D14AC1"/>
    <w:rsid w:val="00D16FB8"/>
    <w:rsid w:val="00D209BA"/>
    <w:rsid w:val="00D20AD1"/>
    <w:rsid w:val="00D212CB"/>
    <w:rsid w:val="00D22287"/>
    <w:rsid w:val="00D23C86"/>
    <w:rsid w:val="00D23FA1"/>
    <w:rsid w:val="00D30B59"/>
    <w:rsid w:val="00D30CFC"/>
    <w:rsid w:val="00D3695C"/>
    <w:rsid w:val="00D36B0C"/>
    <w:rsid w:val="00D377D5"/>
    <w:rsid w:val="00D41086"/>
    <w:rsid w:val="00D4174D"/>
    <w:rsid w:val="00D42209"/>
    <w:rsid w:val="00D46B7E"/>
    <w:rsid w:val="00D527A1"/>
    <w:rsid w:val="00D55266"/>
    <w:rsid w:val="00D57C84"/>
    <w:rsid w:val="00D603ED"/>
    <w:rsid w:val="00D6057D"/>
    <w:rsid w:val="00D60E8E"/>
    <w:rsid w:val="00D620F4"/>
    <w:rsid w:val="00D63E98"/>
    <w:rsid w:val="00D648EC"/>
    <w:rsid w:val="00D650A2"/>
    <w:rsid w:val="00D671CD"/>
    <w:rsid w:val="00D71640"/>
    <w:rsid w:val="00D75BAB"/>
    <w:rsid w:val="00D82E81"/>
    <w:rsid w:val="00D836C5"/>
    <w:rsid w:val="00D84576"/>
    <w:rsid w:val="00D878F1"/>
    <w:rsid w:val="00D907BA"/>
    <w:rsid w:val="00D94EEE"/>
    <w:rsid w:val="00D9736F"/>
    <w:rsid w:val="00D97827"/>
    <w:rsid w:val="00D97AEE"/>
    <w:rsid w:val="00DA08FE"/>
    <w:rsid w:val="00DA1399"/>
    <w:rsid w:val="00DA24C6"/>
    <w:rsid w:val="00DA4D7B"/>
    <w:rsid w:val="00DA4EE3"/>
    <w:rsid w:val="00DA51D0"/>
    <w:rsid w:val="00DA65E4"/>
    <w:rsid w:val="00DA77C1"/>
    <w:rsid w:val="00DB03A9"/>
    <w:rsid w:val="00DB25CE"/>
    <w:rsid w:val="00DB444F"/>
    <w:rsid w:val="00DB4DD1"/>
    <w:rsid w:val="00DB68C5"/>
    <w:rsid w:val="00DB7089"/>
    <w:rsid w:val="00DC1FBC"/>
    <w:rsid w:val="00DC2256"/>
    <w:rsid w:val="00DC3BB3"/>
    <w:rsid w:val="00DC4287"/>
    <w:rsid w:val="00DC559B"/>
    <w:rsid w:val="00DD05F2"/>
    <w:rsid w:val="00DD0EE5"/>
    <w:rsid w:val="00DD1089"/>
    <w:rsid w:val="00DD1F0A"/>
    <w:rsid w:val="00DD271C"/>
    <w:rsid w:val="00DD2CAD"/>
    <w:rsid w:val="00DD40AC"/>
    <w:rsid w:val="00DD4545"/>
    <w:rsid w:val="00DD48A6"/>
    <w:rsid w:val="00DD554A"/>
    <w:rsid w:val="00DD5587"/>
    <w:rsid w:val="00DD5F48"/>
    <w:rsid w:val="00DD63B7"/>
    <w:rsid w:val="00DD6933"/>
    <w:rsid w:val="00DE0BDD"/>
    <w:rsid w:val="00DE21B3"/>
    <w:rsid w:val="00DE23A2"/>
    <w:rsid w:val="00DE264A"/>
    <w:rsid w:val="00DE2FE3"/>
    <w:rsid w:val="00DE4EBB"/>
    <w:rsid w:val="00DE4F53"/>
    <w:rsid w:val="00DF196A"/>
    <w:rsid w:val="00DF1B96"/>
    <w:rsid w:val="00DF2AB3"/>
    <w:rsid w:val="00DF31AB"/>
    <w:rsid w:val="00DF5072"/>
    <w:rsid w:val="00DF62B6"/>
    <w:rsid w:val="00E02224"/>
    <w:rsid w:val="00E02D18"/>
    <w:rsid w:val="00E03D3F"/>
    <w:rsid w:val="00E041E7"/>
    <w:rsid w:val="00E05481"/>
    <w:rsid w:val="00E06379"/>
    <w:rsid w:val="00E10663"/>
    <w:rsid w:val="00E11A95"/>
    <w:rsid w:val="00E11BF3"/>
    <w:rsid w:val="00E11C9A"/>
    <w:rsid w:val="00E121B2"/>
    <w:rsid w:val="00E148AF"/>
    <w:rsid w:val="00E14913"/>
    <w:rsid w:val="00E14C95"/>
    <w:rsid w:val="00E15142"/>
    <w:rsid w:val="00E158A0"/>
    <w:rsid w:val="00E16391"/>
    <w:rsid w:val="00E173B3"/>
    <w:rsid w:val="00E20A65"/>
    <w:rsid w:val="00E2103C"/>
    <w:rsid w:val="00E23CA1"/>
    <w:rsid w:val="00E26211"/>
    <w:rsid w:val="00E27951"/>
    <w:rsid w:val="00E3235B"/>
    <w:rsid w:val="00E32A37"/>
    <w:rsid w:val="00E33DD7"/>
    <w:rsid w:val="00E3401B"/>
    <w:rsid w:val="00E409A8"/>
    <w:rsid w:val="00E40BDD"/>
    <w:rsid w:val="00E40DEA"/>
    <w:rsid w:val="00E46318"/>
    <w:rsid w:val="00E50B96"/>
    <w:rsid w:val="00E50C12"/>
    <w:rsid w:val="00E53998"/>
    <w:rsid w:val="00E57A58"/>
    <w:rsid w:val="00E57A7B"/>
    <w:rsid w:val="00E61ABB"/>
    <w:rsid w:val="00E6285C"/>
    <w:rsid w:val="00E655DB"/>
    <w:rsid w:val="00E65B91"/>
    <w:rsid w:val="00E701FC"/>
    <w:rsid w:val="00E70CD5"/>
    <w:rsid w:val="00E71138"/>
    <w:rsid w:val="00E71A49"/>
    <w:rsid w:val="00E71BE4"/>
    <w:rsid w:val="00E7209D"/>
    <w:rsid w:val="00E7289C"/>
    <w:rsid w:val="00E72EAD"/>
    <w:rsid w:val="00E73FF1"/>
    <w:rsid w:val="00E75575"/>
    <w:rsid w:val="00E7700D"/>
    <w:rsid w:val="00E77223"/>
    <w:rsid w:val="00E77AE4"/>
    <w:rsid w:val="00E80895"/>
    <w:rsid w:val="00E80D0E"/>
    <w:rsid w:val="00E82E1D"/>
    <w:rsid w:val="00E83EBD"/>
    <w:rsid w:val="00E840F8"/>
    <w:rsid w:val="00E841C3"/>
    <w:rsid w:val="00E8528B"/>
    <w:rsid w:val="00E85925"/>
    <w:rsid w:val="00E85B94"/>
    <w:rsid w:val="00E864C4"/>
    <w:rsid w:val="00E86596"/>
    <w:rsid w:val="00E8762D"/>
    <w:rsid w:val="00E90373"/>
    <w:rsid w:val="00E93629"/>
    <w:rsid w:val="00E9535E"/>
    <w:rsid w:val="00E9736C"/>
    <w:rsid w:val="00E978D0"/>
    <w:rsid w:val="00E97A12"/>
    <w:rsid w:val="00EA0747"/>
    <w:rsid w:val="00EA116B"/>
    <w:rsid w:val="00EA4613"/>
    <w:rsid w:val="00EA6721"/>
    <w:rsid w:val="00EA7F91"/>
    <w:rsid w:val="00EB02A8"/>
    <w:rsid w:val="00EB0F7C"/>
    <w:rsid w:val="00EB1523"/>
    <w:rsid w:val="00EB2025"/>
    <w:rsid w:val="00EB37BC"/>
    <w:rsid w:val="00EB3EC1"/>
    <w:rsid w:val="00EB47CF"/>
    <w:rsid w:val="00EB48AB"/>
    <w:rsid w:val="00EB56D7"/>
    <w:rsid w:val="00EC0E49"/>
    <w:rsid w:val="00EC101F"/>
    <w:rsid w:val="00EC10A1"/>
    <w:rsid w:val="00EC1D9F"/>
    <w:rsid w:val="00EC2764"/>
    <w:rsid w:val="00ED0167"/>
    <w:rsid w:val="00ED3287"/>
    <w:rsid w:val="00EE0131"/>
    <w:rsid w:val="00EE17B0"/>
    <w:rsid w:val="00EE1A99"/>
    <w:rsid w:val="00EE396F"/>
    <w:rsid w:val="00EE4DC3"/>
    <w:rsid w:val="00EE5FD9"/>
    <w:rsid w:val="00EE6050"/>
    <w:rsid w:val="00EF04C9"/>
    <w:rsid w:val="00EF06D9"/>
    <w:rsid w:val="00EF36E7"/>
    <w:rsid w:val="00EF50F9"/>
    <w:rsid w:val="00EF5C0F"/>
    <w:rsid w:val="00F00022"/>
    <w:rsid w:val="00F021BB"/>
    <w:rsid w:val="00F0694B"/>
    <w:rsid w:val="00F1196E"/>
    <w:rsid w:val="00F11A67"/>
    <w:rsid w:val="00F1359E"/>
    <w:rsid w:val="00F17D9B"/>
    <w:rsid w:val="00F215D9"/>
    <w:rsid w:val="00F23707"/>
    <w:rsid w:val="00F23762"/>
    <w:rsid w:val="00F23B29"/>
    <w:rsid w:val="00F25B5A"/>
    <w:rsid w:val="00F26710"/>
    <w:rsid w:val="00F3049E"/>
    <w:rsid w:val="00F3069F"/>
    <w:rsid w:val="00F30C64"/>
    <w:rsid w:val="00F31567"/>
    <w:rsid w:val="00F32BA2"/>
    <w:rsid w:val="00F32CDB"/>
    <w:rsid w:val="00F341FE"/>
    <w:rsid w:val="00F37012"/>
    <w:rsid w:val="00F41950"/>
    <w:rsid w:val="00F439CD"/>
    <w:rsid w:val="00F45F87"/>
    <w:rsid w:val="00F50C60"/>
    <w:rsid w:val="00F51176"/>
    <w:rsid w:val="00F5132B"/>
    <w:rsid w:val="00F54A60"/>
    <w:rsid w:val="00F565FE"/>
    <w:rsid w:val="00F56FE2"/>
    <w:rsid w:val="00F6063C"/>
    <w:rsid w:val="00F60F57"/>
    <w:rsid w:val="00F63A70"/>
    <w:rsid w:val="00F63D8C"/>
    <w:rsid w:val="00F63FEC"/>
    <w:rsid w:val="00F652CD"/>
    <w:rsid w:val="00F65FA2"/>
    <w:rsid w:val="00F714E0"/>
    <w:rsid w:val="00F73F48"/>
    <w:rsid w:val="00F7473D"/>
    <w:rsid w:val="00F750A6"/>
    <w:rsid w:val="00F7534E"/>
    <w:rsid w:val="00F77A4C"/>
    <w:rsid w:val="00F82D7F"/>
    <w:rsid w:val="00F83988"/>
    <w:rsid w:val="00F8699F"/>
    <w:rsid w:val="00F86A59"/>
    <w:rsid w:val="00F87607"/>
    <w:rsid w:val="00F87686"/>
    <w:rsid w:val="00F90A45"/>
    <w:rsid w:val="00F911FE"/>
    <w:rsid w:val="00F919CB"/>
    <w:rsid w:val="00F934BB"/>
    <w:rsid w:val="00F9375A"/>
    <w:rsid w:val="00F93EDF"/>
    <w:rsid w:val="00F947C7"/>
    <w:rsid w:val="00F94906"/>
    <w:rsid w:val="00F97576"/>
    <w:rsid w:val="00F9781C"/>
    <w:rsid w:val="00FA1802"/>
    <w:rsid w:val="00FA21D0"/>
    <w:rsid w:val="00FA2F30"/>
    <w:rsid w:val="00FA3921"/>
    <w:rsid w:val="00FA4B96"/>
    <w:rsid w:val="00FA5F5F"/>
    <w:rsid w:val="00FB1775"/>
    <w:rsid w:val="00FB2F76"/>
    <w:rsid w:val="00FB376A"/>
    <w:rsid w:val="00FB730C"/>
    <w:rsid w:val="00FB7F01"/>
    <w:rsid w:val="00FC2695"/>
    <w:rsid w:val="00FC26AD"/>
    <w:rsid w:val="00FC3E03"/>
    <w:rsid w:val="00FC3FC1"/>
    <w:rsid w:val="00FC4339"/>
    <w:rsid w:val="00FC44B4"/>
    <w:rsid w:val="00FC4AD8"/>
    <w:rsid w:val="00FC5792"/>
    <w:rsid w:val="00FD0FE0"/>
    <w:rsid w:val="00FD19DE"/>
    <w:rsid w:val="00FD2374"/>
    <w:rsid w:val="00FD3430"/>
    <w:rsid w:val="00FD4345"/>
    <w:rsid w:val="00FD4A8B"/>
    <w:rsid w:val="00FD5BFA"/>
    <w:rsid w:val="00FE015A"/>
    <w:rsid w:val="00FE01AA"/>
    <w:rsid w:val="00FE1107"/>
    <w:rsid w:val="00FE1796"/>
    <w:rsid w:val="00FE2451"/>
    <w:rsid w:val="00FE522E"/>
    <w:rsid w:val="00FE67C4"/>
    <w:rsid w:val="00FF02D6"/>
    <w:rsid w:val="00FF15DC"/>
    <w:rsid w:val="00FF1D65"/>
    <w:rsid w:val="00FF2AAC"/>
    <w:rsid w:val="00FF4DC9"/>
    <w:rsid w:val="011FDC04"/>
    <w:rsid w:val="0129F1A9"/>
    <w:rsid w:val="012A2FCB"/>
    <w:rsid w:val="01660BA6"/>
    <w:rsid w:val="0176B2D9"/>
    <w:rsid w:val="020B26F4"/>
    <w:rsid w:val="023CB455"/>
    <w:rsid w:val="02EC2F51"/>
    <w:rsid w:val="02FA9036"/>
    <w:rsid w:val="030C6482"/>
    <w:rsid w:val="042069EF"/>
    <w:rsid w:val="04BE012F"/>
    <w:rsid w:val="05C3C166"/>
    <w:rsid w:val="0609E3A7"/>
    <w:rsid w:val="06ACCACD"/>
    <w:rsid w:val="075CFA0E"/>
    <w:rsid w:val="07D2BA23"/>
    <w:rsid w:val="07D6F2DA"/>
    <w:rsid w:val="07E7D25D"/>
    <w:rsid w:val="0850673E"/>
    <w:rsid w:val="08C8CE5C"/>
    <w:rsid w:val="08CE3FAA"/>
    <w:rsid w:val="08D8C7A4"/>
    <w:rsid w:val="0909D3D0"/>
    <w:rsid w:val="0916F9DE"/>
    <w:rsid w:val="09770F94"/>
    <w:rsid w:val="0A45CDD6"/>
    <w:rsid w:val="0A6E4D1A"/>
    <w:rsid w:val="0A7935AA"/>
    <w:rsid w:val="0A8100FE"/>
    <w:rsid w:val="0A8DC062"/>
    <w:rsid w:val="0AC92596"/>
    <w:rsid w:val="0AD13848"/>
    <w:rsid w:val="0B148068"/>
    <w:rsid w:val="0B2D0479"/>
    <w:rsid w:val="0B5F0592"/>
    <w:rsid w:val="0BC6732A"/>
    <w:rsid w:val="0BF1460D"/>
    <w:rsid w:val="0C32405D"/>
    <w:rsid w:val="0C734432"/>
    <w:rsid w:val="0C93BFCA"/>
    <w:rsid w:val="0D017572"/>
    <w:rsid w:val="0D391453"/>
    <w:rsid w:val="0D4C7F27"/>
    <w:rsid w:val="0E36779B"/>
    <w:rsid w:val="0E598060"/>
    <w:rsid w:val="0E9015B0"/>
    <w:rsid w:val="0F1FCB54"/>
    <w:rsid w:val="0F545397"/>
    <w:rsid w:val="0F725523"/>
    <w:rsid w:val="0FA81BB6"/>
    <w:rsid w:val="0FA8B09E"/>
    <w:rsid w:val="0FE2300F"/>
    <w:rsid w:val="0FE2AA00"/>
    <w:rsid w:val="0FF5B5DA"/>
    <w:rsid w:val="100D8764"/>
    <w:rsid w:val="1044B5C9"/>
    <w:rsid w:val="106A6DFC"/>
    <w:rsid w:val="1080052C"/>
    <w:rsid w:val="10B76809"/>
    <w:rsid w:val="10C19BFC"/>
    <w:rsid w:val="11245648"/>
    <w:rsid w:val="113AB335"/>
    <w:rsid w:val="118F678D"/>
    <w:rsid w:val="11A7191E"/>
    <w:rsid w:val="11F1654C"/>
    <w:rsid w:val="1266D7CE"/>
    <w:rsid w:val="127FA9EA"/>
    <w:rsid w:val="12902C86"/>
    <w:rsid w:val="1290F719"/>
    <w:rsid w:val="13090C04"/>
    <w:rsid w:val="138F6C43"/>
    <w:rsid w:val="13AE9BA6"/>
    <w:rsid w:val="1496AEF5"/>
    <w:rsid w:val="1516C4F6"/>
    <w:rsid w:val="153718FE"/>
    <w:rsid w:val="15626D54"/>
    <w:rsid w:val="1590685A"/>
    <w:rsid w:val="15ABD30A"/>
    <w:rsid w:val="15D35CFB"/>
    <w:rsid w:val="15F480C7"/>
    <w:rsid w:val="1656F137"/>
    <w:rsid w:val="1666D5F2"/>
    <w:rsid w:val="16738265"/>
    <w:rsid w:val="16D6A5D3"/>
    <w:rsid w:val="173598CB"/>
    <w:rsid w:val="17B24050"/>
    <w:rsid w:val="17F2F5CD"/>
    <w:rsid w:val="18346655"/>
    <w:rsid w:val="190CA038"/>
    <w:rsid w:val="191CF1A6"/>
    <w:rsid w:val="19A57227"/>
    <w:rsid w:val="1AB563D0"/>
    <w:rsid w:val="1AE495C7"/>
    <w:rsid w:val="1AFFF833"/>
    <w:rsid w:val="1B0EDA72"/>
    <w:rsid w:val="1B2E53C4"/>
    <w:rsid w:val="1B86C9D5"/>
    <w:rsid w:val="1BD5DA85"/>
    <w:rsid w:val="1BDA4BD5"/>
    <w:rsid w:val="1C939706"/>
    <w:rsid w:val="1CA4F220"/>
    <w:rsid w:val="1CE709C0"/>
    <w:rsid w:val="1D2FE396"/>
    <w:rsid w:val="1D523470"/>
    <w:rsid w:val="1D8799B8"/>
    <w:rsid w:val="1DD992C9"/>
    <w:rsid w:val="1DE09D81"/>
    <w:rsid w:val="1E2CEA3C"/>
    <w:rsid w:val="1E303594"/>
    <w:rsid w:val="1E8B8B63"/>
    <w:rsid w:val="1ECC363E"/>
    <w:rsid w:val="1F6B56F7"/>
    <w:rsid w:val="1F6BBB54"/>
    <w:rsid w:val="1F81A338"/>
    <w:rsid w:val="207F6A03"/>
    <w:rsid w:val="211A59CC"/>
    <w:rsid w:val="213FFCBE"/>
    <w:rsid w:val="2172D165"/>
    <w:rsid w:val="21BD1D65"/>
    <w:rsid w:val="22390A7A"/>
    <w:rsid w:val="2284F1D5"/>
    <w:rsid w:val="22949915"/>
    <w:rsid w:val="22EC41BF"/>
    <w:rsid w:val="22F94999"/>
    <w:rsid w:val="230C673E"/>
    <w:rsid w:val="230F1119"/>
    <w:rsid w:val="2313DC50"/>
    <w:rsid w:val="235CE06C"/>
    <w:rsid w:val="236F77A5"/>
    <w:rsid w:val="23C301C3"/>
    <w:rsid w:val="242C43CC"/>
    <w:rsid w:val="2492014B"/>
    <w:rsid w:val="24F0F4FD"/>
    <w:rsid w:val="24FFDEC2"/>
    <w:rsid w:val="256346B4"/>
    <w:rsid w:val="25783F17"/>
    <w:rsid w:val="25CF95F1"/>
    <w:rsid w:val="25D3C14B"/>
    <w:rsid w:val="25F9CE61"/>
    <w:rsid w:val="261C4C5C"/>
    <w:rsid w:val="26692467"/>
    <w:rsid w:val="2725DEEE"/>
    <w:rsid w:val="272A471E"/>
    <w:rsid w:val="272AB439"/>
    <w:rsid w:val="2742E801"/>
    <w:rsid w:val="2843D96D"/>
    <w:rsid w:val="28694C51"/>
    <w:rsid w:val="28F6EDE7"/>
    <w:rsid w:val="296AAC74"/>
    <w:rsid w:val="2AAA86A9"/>
    <w:rsid w:val="2AEAF955"/>
    <w:rsid w:val="2B12D84B"/>
    <w:rsid w:val="2B1B3C8A"/>
    <w:rsid w:val="2C5D4765"/>
    <w:rsid w:val="2C65C199"/>
    <w:rsid w:val="2C71C6B9"/>
    <w:rsid w:val="2D1D4E59"/>
    <w:rsid w:val="2D2FD5C6"/>
    <w:rsid w:val="2D6C15E1"/>
    <w:rsid w:val="2D73CF2B"/>
    <w:rsid w:val="2D885E2E"/>
    <w:rsid w:val="2D89D0CA"/>
    <w:rsid w:val="2E53A9B8"/>
    <w:rsid w:val="2E57853C"/>
    <w:rsid w:val="2E6B1D74"/>
    <w:rsid w:val="2F140D15"/>
    <w:rsid w:val="2F188931"/>
    <w:rsid w:val="2F254433"/>
    <w:rsid w:val="2FC72264"/>
    <w:rsid w:val="2FDEB066"/>
    <w:rsid w:val="2FF2BA4D"/>
    <w:rsid w:val="2FF9F96D"/>
    <w:rsid w:val="303F69BE"/>
    <w:rsid w:val="3073EEB0"/>
    <w:rsid w:val="30C005D7"/>
    <w:rsid w:val="30D42228"/>
    <w:rsid w:val="30D904E7"/>
    <w:rsid w:val="3157C76C"/>
    <w:rsid w:val="31E180D3"/>
    <w:rsid w:val="31E6004F"/>
    <w:rsid w:val="320C5BB3"/>
    <w:rsid w:val="3213C37D"/>
    <w:rsid w:val="321F3F03"/>
    <w:rsid w:val="325A0D2C"/>
    <w:rsid w:val="3290A834"/>
    <w:rsid w:val="32A23752"/>
    <w:rsid w:val="32A32E80"/>
    <w:rsid w:val="32F22257"/>
    <w:rsid w:val="3325EEB3"/>
    <w:rsid w:val="337E00F7"/>
    <w:rsid w:val="33B637EE"/>
    <w:rsid w:val="33B9F9F2"/>
    <w:rsid w:val="34BBFC22"/>
    <w:rsid w:val="350AC190"/>
    <w:rsid w:val="35672686"/>
    <w:rsid w:val="3607CF69"/>
    <w:rsid w:val="3630789E"/>
    <w:rsid w:val="3664465A"/>
    <w:rsid w:val="36B4756B"/>
    <w:rsid w:val="371AF867"/>
    <w:rsid w:val="371BA7C0"/>
    <w:rsid w:val="37468003"/>
    <w:rsid w:val="37B1EFC9"/>
    <w:rsid w:val="3864397F"/>
    <w:rsid w:val="3884C46B"/>
    <w:rsid w:val="38F75B93"/>
    <w:rsid w:val="393DD638"/>
    <w:rsid w:val="396AD500"/>
    <w:rsid w:val="3997DE31"/>
    <w:rsid w:val="39FDBB1E"/>
    <w:rsid w:val="3A0EFEEE"/>
    <w:rsid w:val="3A30B7E4"/>
    <w:rsid w:val="3A54AEEF"/>
    <w:rsid w:val="3A5AF52E"/>
    <w:rsid w:val="3A8B6F04"/>
    <w:rsid w:val="3AE4C26F"/>
    <w:rsid w:val="3B0B3775"/>
    <w:rsid w:val="3B286A05"/>
    <w:rsid w:val="3B3ED736"/>
    <w:rsid w:val="3BB0AB13"/>
    <w:rsid w:val="3BB1521B"/>
    <w:rsid w:val="3BC4CEE2"/>
    <w:rsid w:val="3BFD0086"/>
    <w:rsid w:val="3C257446"/>
    <w:rsid w:val="3C95E1FA"/>
    <w:rsid w:val="3D30F556"/>
    <w:rsid w:val="3E193DA8"/>
    <w:rsid w:val="3E9C39DB"/>
    <w:rsid w:val="3EF0E55A"/>
    <w:rsid w:val="3F1466B3"/>
    <w:rsid w:val="3F8125B4"/>
    <w:rsid w:val="3F8A2F45"/>
    <w:rsid w:val="3F8D4296"/>
    <w:rsid w:val="3FA81678"/>
    <w:rsid w:val="3FC2D0BE"/>
    <w:rsid w:val="40331880"/>
    <w:rsid w:val="4078D2CC"/>
    <w:rsid w:val="40825301"/>
    <w:rsid w:val="40B9779C"/>
    <w:rsid w:val="41014E4B"/>
    <w:rsid w:val="4152A542"/>
    <w:rsid w:val="41EC63CD"/>
    <w:rsid w:val="4201A1A0"/>
    <w:rsid w:val="4208CD03"/>
    <w:rsid w:val="421B3BDF"/>
    <w:rsid w:val="422050D5"/>
    <w:rsid w:val="428FE0CC"/>
    <w:rsid w:val="42A0B6D4"/>
    <w:rsid w:val="439A3AFF"/>
    <w:rsid w:val="452EF22B"/>
    <w:rsid w:val="456A5D38"/>
    <w:rsid w:val="45D65095"/>
    <w:rsid w:val="45ECA013"/>
    <w:rsid w:val="45F72DBB"/>
    <w:rsid w:val="46295D2A"/>
    <w:rsid w:val="4668178C"/>
    <w:rsid w:val="4743DC58"/>
    <w:rsid w:val="4762C7C2"/>
    <w:rsid w:val="476523F1"/>
    <w:rsid w:val="47891459"/>
    <w:rsid w:val="4820EFF1"/>
    <w:rsid w:val="485B7644"/>
    <w:rsid w:val="488EFB74"/>
    <w:rsid w:val="48B3A1CB"/>
    <w:rsid w:val="48D8BDDB"/>
    <w:rsid w:val="4920552D"/>
    <w:rsid w:val="493FE794"/>
    <w:rsid w:val="4999DC57"/>
    <w:rsid w:val="49B551BA"/>
    <w:rsid w:val="4A0AEF24"/>
    <w:rsid w:val="4A2DC23C"/>
    <w:rsid w:val="4A3ACB29"/>
    <w:rsid w:val="4A6AB577"/>
    <w:rsid w:val="4AC9CE58"/>
    <w:rsid w:val="4B189E7F"/>
    <w:rsid w:val="4B2792F4"/>
    <w:rsid w:val="4BA9CC27"/>
    <w:rsid w:val="4C17B0E1"/>
    <w:rsid w:val="4CA762CC"/>
    <w:rsid w:val="4CBB38D8"/>
    <w:rsid w:val="4CD8BAD1"/>
    <w:rsid w:val="4CE06557"/>
    <w:rsid w:val="4CE8B532"/>
    <w:rsid w:val="4DC981E6"/>
    <w:rsid w:val="4DD04FA3"/>
    <w:rsid w:val="4E0F7B7A"/>
    <w:rsid w:val="4E4EC655"/>
    <w:rsid w:val="4E75ECA0"/>
    <w:rsid w:val="4EE4866A"/>
    <w:rsid w:val="4F22A1F3"/>
    <w:rsid w:val="4F3C67C2"/>
    <w:rsid w:val="4F84AE67"/>
    <w:rsid w:val="4F8CBDD0"/>
    <w:rsid w:val="4FACB01E"/>
    <w:rsid w:val="4FB93274"/>
    <w:rsid w:val="4FEDBA7D"/>
    <w:rsid w:val="5059B8D7"/>
    <w:rsid w:val="509C0242"/>
    <w:rsid w:val="51207EC8"/>
    <w:rsid w:val="51241DAE"/>
    <w:rsid w:val="515F380F"/>
    <w:rsid w:val="516D933E"/>
    <w:rsid w:val="51A99B43"/>
    <w:rsid w:val="51E92997"/>
    <w:rsid w:val="51EE49C6"/>
    <w:rsid w:val="5240E504"/>
    <w:rsid w:val="52DFC5DF"/>
    <w:rsid w:val="52E4B305"/>
    <w:rsid w:val="5323365C"/>
    <w:rsid w:val="533D4877"/>
    <w:rsid w:val="53E8311C"/>
    <w:rsid w:val="540A69EE"/>
    <w:rsid w:val="550BB2ED"/>
    <w:rsid w:val="5527F7B0"/>
    <w:rsid w:val="55FB2F37"/>
    <w:rsid w:val="5648F2C1"/>
    <w:rsid w:val="564F8BEC"/>
    <w:rsid w:val="56B52509"/>
    <w:rsid w:val="576DF5B9"/>
    <w:rsid w:val="5796193C"/>
    <w:rsid w:val="58707641"/>
    <w:rsid w:val="58756CB5"/>
    <w:rsid w:val="59235CFE"/>
    <w:rsid w:val="595184A0"/>
    <w:rsid w:val="595A5D88"/>
    <w:rsid w:val="598B444C"/>
    <w:rsid w:val="59D163C6"/>
    <w:rsid w:val="59D43593"/>
    <w:rsid w:val="59E6CB81"/>
    <w:rsid w:val="59E8E584"/>
    <w:rsid w:val="59EC7DC0"/>
    <w:rsid w:val="5A1A3C87"/>
    <w:rsid w:val="5A82685A"/>
    <w:rsid w:val="5ADA6D55"/>
    <w:rsid w:val="5B092BE6"/>
    <w:rsid w:val="5B7D3000"/>
    <w:rsid w:val="5BB0C322"/>
    <w:rsid w:val="5BD76CE2"/>
    <w:rsid w:val="5C03A21D"/>
    <w:rsid w:val="5D0EA351"/>
    <w:rsid w:val="5D674DA3"/>
    <w:rsid w:val="5D9032F7"/>
    <w:rsid w:val="5DEB83F7"/>
    <w:rsid w:val="5E132DA6"/>
    <w:rsid w:val="5E27D277"/>
    <w:rsid w:val="5E2DCED1"/>
    <w:rsid w:val="5E56C2A0"/>
    <w:rsid w:val="5E5CBC35"/>
    <w:rsid w:val="5E9C65A2"/>
    <w:rsid w:val="5ECBE7B5"/>
    <w:rsid w:val="5EDC49B7"/>
    <w:rsid w:val="5F3BB84F"/>
    <w:rsid w:val="5F449046"/>
    <w:rsid w:val="5F54C51C"/>
    <w:rsid w:val="5F7170A2"/>
    <w:rsid w:val="600DAFBA"/>
    <w:rsid w:val="6017B696"/>
    <w:rsid w:val="6027A3CD"/>
    <w:rsid w:val="60B87EAF"/>
    <w:rsid w:val="610F3F45"/>
    <w:rsid w:val="61204B41"/>
    <w:rsid w:val="617C48CE"/>
    <w:rsid w:val="619D6E7E"/>
    <w:rsid w:val="61AD3727"/>
    <w:rsid w:val="6316A3BA"/>
    <w:rsid w:val="637E4D6F"/>
    <w:rsid w:val="64554819"/>
    <w:rsid w:val="6477CBDD"/>
    <w:rsid w:val="6493E027"/>
    <w:rsid w:val="64B9C512"/>
    <w:rsid w:val="64FD2246"/>
    <w:rsid w:val="65BBE78D"/>
    <w:rsid w:val="66459A1A"/>
    <w:rsid w:val="66876EBE"/>
    <w:rsid w:val="66FCA09E"/>
    <w:rsid w:val="671D9410"/>
    <w:rsid w:val="67C26A60"/>
    <w:rsid w:val="67D8E711"/>
    <w:rsid w:val="67F51E3B"/>
    <w:rsid w:val="688A36A8"/>
    <w:rsid w:val="68AE6B0E"/>
    <w:rsid w:val="68D7E361"/>
    <w:rsid w:val="68F32F13"/>
    <w:rsid w:val="6907AAD5"/>
    <w:rsid w:val="692517A9"/>
    <w:rsid w:val="69869CB3"/>
    <w:rsid w:val="69F32E8B"/>
    <w:rsid w:val="6A1429BD"/>
    <w:rsid w:val="6A17D3CD"/>
    <w:rsid w:val="6A717FDF"/>
    <w:rsid w:val="6A7D30AB"/>
    <w:rsid w:val="6AFEDB90"/>
    <w:rsid w:val="6B100AE6"/>
    <w:rsid w:val="6B69A223"/>
    <w:rsid w:val="6B6E5D73"/>
    <w:rsid w:val="6B89F227"/>
    <w:rsid w:val="6BE9407A"/>
    <w:rsid w:val="6C6A0C0B"/>
    <w:rsid w:val="6CE3ED7D"/>
    <w:rsid w:val="6D031C6E"/>
    <w:rsid w:val="6D4100BF"/>
    <w:rsid w:val="6D47F5B4"/>
    <w:rsid w:val="6D53EFCF"/>
    <w:rsid w:val="6DCABFA3"/>
    <w:rsid w:val="6E3AB48D"/>
    <w:rsid w:val="6E449EA1"/>
    <w:rsid w:val="6E4E7604"/>
    <w:rsid w:val="6EB84BE4"/>
    <w:rsid w:val="6F18B46C"/>
    <w:rsid w:val="6F5BAC01"/>
    <w:rsid w:val="6F95EF9B"/>
    <w:rsid w:val="6FB4B81F"/>
    <w:rsid w:val="7018DF6A"/>
    <w:rsid w:val="70FBF597"/>
    <w:rsid w:val="7178C7BF"/>
    <w:rsid w:val="718FD471"/>
    <w:rsid w:val="71CB6929"/>
    <w:rsid w:val="72094008"/>
    <w:rsid w:val="72430AB1"/>
    <w:rsid w:val="72743E4D"/>
    <w:rsid w:val="72958CF4"/>
    <w:rsid w:val="729B23EE"/>
    <w:rsid w:val="72CFA3AA"/>
    <w:rsid w:val="72D9272A"/>
    <w:rsid w:val="7410F6D7"/>
    <w:rsid w:val="742A089C"/>
    <w:rsid w:val="7454809D"/>
    <w:rsid w:val="74746EF5"/>
    <w:rsid w:val="749D84AF"/>
    <w:rsid w:val="74B06881"/>
    <w:rsid w:val="75474F4A"/>
    <w:rsid w:val="754FB96C"/>
    <w:rsid w:val="75AB4797"/>
    <w:rsid w:val="76554833"/>
    <w:rsid w:val="76D064C3"/>
    <w:rsid w:val="77380E4F"/>
    <w:rsid w:val="77F2F665"/>
    <w:rsid w:val="77F5AE14"/>
    <w:rsid w:val="78D53F1F"/>
    <w:rsid w:val="7965668C"/>
    <w:rsid w:val="798DBA19"/>
    <w:rsid w:val="79960559"/>
    <w:rsid w:val="7996C5D3"/>
    <w:rsid w:val="7A628F93"/>
    <w:rsid w:val="7A7FE19F"/>
    <w:rsid w:val="7AABB6AC"/>
    <w:rsid w:val="7AECBDEC"/>
    <w:rsid w:val="7B16BAA3"/>
    <w:rsid w:val="7B20168B"/>
    <w:rsid w:val="7B6F62BC"/>
    <w:rsid w:val="7BABFB90"/>
    <w:rsid w:val="7BADE5AE"/>
    <w:rsid w:val="7C0D0131"/>
    <w:rsid w:val="7C2F8D30"/>
    <w:rsid w:val="7D1F9F7D"/>
    <w:rsid w:val="7D533B93"/>
    <w:rsid w:val="7DC97980"/>
    <w:rsid w:val="7E0D976B"/>
    <w:rsid w:val="7E13BA5B"/>
    <w:rsid w:val="7E42AB5A"/>
    <w:rsid w:val="7EC0B41B"/>
    <w:rsid w:val="7EF1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E0CC22"/>
  <w14:defaultImageDpi w14:val="330"/>
  <w15:docId w15:val="{6BE9FB43-1FF2-4C9F-86F7-794F89D2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aliases w:val="/Title,SECTION 1.,1,X.,headmain,§1.,Gliederung1,L1,H1,Document Header1,ClauseGroup_Title,Part,- 1st Order Heading,. (1.0),OG Heading 1,Head1"/>
    <w:basedOn w:val="CETHeading1"/>
    <w:next w:val="Normal"/>
    <w:link w:val="Heading1Char"/>
    <w:uiPriority w:val="9"/>
    <w:qFormat/>
    <w:rsid w:val="004F5E36"/>
    <w:pPr>
      <w:tabs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aliases w:val="§1.1,§1.1."/>
    <w:basedOn w:val="Normal"/>
    <w:next w:val="Normal"/>
    <w:link w:val="Heading2Char"/>
    <w:uiPriority w:val="9"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. [(1)]"/>
    <w:basedOn w:val="Normal"/>
    <w:next w:val="Normal"/>
    <w:link w:val="Heading7Char"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986B2C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986B2C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aliases w:val="/Title Char,SECTION 1. Char,1 Char,X. Char,headmain Char,§1. Char,Gliederung1 Char,L1 Char,H1 Char,Document Header1 Char,ClauseGroup_Title Char,Part Char,- 1st Order Heading Char,. (1.0) Char,OG Heading 1 Char,Head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aliases w:val="§1.1 Char,§1.1.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. [(1)]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2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3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4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80FA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E6C52"/>
    <w:rPr>
      <w:rFonts w:ascii="Arial" w:eastAsia="Times New Roman" w:hAnsi="Arial" w:cs="Times New Roman"/>
      <w:sz w:val="18"/>
      <w:szCs w:val="20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06318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63181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F298F"/>
    <w:rPr>
      <w:b/>
      <w:bCs/>
    </w:rPr>
  </w:style>
  <w:style w:type="paragraph" w:styleId="Revision">
    <w:name w:val="Revision"/>
    <w:hidden/>
    <w:uiPriority w:val="99"/>
    <w:semiHidden/>
    <w:rsid w:val="00FF2AAC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cf01">
    <w:name w:val="cf01"/>
    <w:basedOn w:val="DefaultParagraphFont"/>
    <w:rsid w:val="001B0A02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1B0A02"/>
    <w:rPr>
      <w:rFonts w:ascii="Segoe UI" w:hAnsi="Segoe UI" w:cs="Segoe UI" w:hint="default"/>
      <w:i/>
      <w:iC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73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Maxima_and_minim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D70EE086724F83521788BE479192" ma:contentTypeVersion="15" ma:contentTypeDescription="Create a new document." ma:contentTypeScope="" ma:versionID="5df3ff328985178a35782fdc604c0c49">
  <xsd:schema xmlns:xsd="http://www.w3.org/2001/XMLSchema" xmlns:xs="http://www.w3.org/2001/XMLSchema" xmlns:p="http://schemas.microsoft.com/office/2006/metadata/properties" xmlns:ns2="88bd5227-66d6-48b2-a17b-614347058d39" xmlns:ns3="a5e78d2a-c46f-40c0-bab8-5fd2fd12f7df" targetNamespace="http://schemas.microsoft.com/office/2006/metadata/properties" ma:root="true" ma:fieldsID="836f9ee15747a2081cc812feda9397c9" ns2:_="" ns3:_="">
    <xsd:import namespace="88bd5227-66d6-48b2-a17b-614347058d39"/>
    <xsd:import namespace="a5e78d2a-c46f-40c0-bab8-5fd2fd12f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d5227-66d6-48b2-a17b-614347058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448396-408b-4432-96f7-7c4181d1c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8d2a-c46f-40c0-bab8-5fd2fd12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8a848-f78f-4c70-a86e-7342203c7ceb}" ma:internalName="TaxCatchAll" ma:showField="CatchAllData" ma:web="a5e78d2a-c46f-40c0-bab8-5fd2fd12f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bd5227-66d6-48b2-a17b-614347058d39">
      <Terms xmlns="http://schemas.microsoft.com/office/infopath/2007/PartnerControls"/>
    </lcf76f155ced4ddcb4097134ff3c332f>
    <TaxCatchAll xmlns="a5e78d2a-c46f-40c0-bab8-5fd2fd12f7df" xsi:nil="true"/>
    <SharedWithUsers xmlns="a5e78d2a-c46f-40c0-bab8-5fd2fd12f7df">
      <UserInfo>
        <DisplayName>Pasqualon Ezio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3983C9-6D0A-480C-BF79-A63BD3D99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D3B6D-4804-4D2C-AD78-FD2AD1382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01B67-3884-4CBB-AF29-B6B3C4181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d5227-66d6-48b2-a17b-614347058d39"/>
    <ds:schemaRef ds:uri="a5e78d2a-c46f-40c0-bab8-5fd2fd12f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A3B67-763C-409C-9ACE-378F60CB9484}">
  <ds:schemaRefs>
    <ds:schemaRef ds:uri="http://schemas.microsoft.com/office/2006/metadata/properties"/>
    <ds:schemaRef ds:uri="http://schemas.microsoft.com/office/infopath/2007/PartnerControls"/>
    <ds:schemaRef ds:uri="88bd5227-66d6-48b2-a17b-614347058d39"/>
    <ds:schemaRef ds:uri="a5e78d2a-c46f-40c0-bab8-5fd2fd12f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19635</CharactersWithSpaces>
  <SharedDoc>false</SharedDoc>
  <HLinks>
    <vt:vector size="6" baseType="variant">
      <vt:variant>
        <vt:i4>3080290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https://en.wikipedia.org/wiki/Maxima_and_minima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cp:lastModifiedBy>Pasqualon Ezio</cp:lastModifiedBy>
  <cp:revision>103</cp:revision>
  <cp:lastPrinted>2015-05-13T03:31:00Z</cp:lastPrinted>
  <dcterms:created xsi:type="dcterms:W3CDTF">2023-04-13T01:40:00Z</dcterms:created>
  <dcterms:modified xsi:type="dcterms:W3CDTF">2023-06-14T12:48:00Z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MSIP_Label_e18d9558-26a3-4f93-8788-04a494c05692_Enabled">
    <vt:lpwstr>true</vt:lpwstr>
  </property>
  <property fmtid="{D5CDD505-2E9C-101B-9397-08002B2CF9AE}" pid="5" name="MSIP_Label_e18d9558-26a3-4f93-8788-04a494c05692_SetDate">
    <vt:lpwstr>2023-03-03T13:09:36Z</vt:lpwstr>
  </property>
  <property fmtid="{D5CDD505-2E9C-101B-9397-08002B2CF9AE}" pid="6" name="MSIP_Label_e18d9558-26a3-4f93-8788-04a494c05692_Method">
    <vt:lpwstr>Standard</vt:lpwstr>
  </property>
  <property fmtid="{D5CDD505-2E9C-101B-9397-08002B2CF9AE}" pid="7" name="MSIP_Label_e18d9558-26a3-4f93-8788-04a494c05692_Name">
    <vt:lpwstr>e18d9558-26a3-4f93-8788-04a494c05692</vt:lpwstr>
  </property>
  <property fmtid="{D5CDD505-2E9C-101B-9397-08002B2CF9AE}" pid="8" name="MSIP_Label_e18d9558-26a3-4f93-8788-04a494c05692_SiteId">
    <vt:lpwstr>7cc91888-5aa0-49e5-a836-22cda2eae0fc</vt:lpwstr>
  </property>
  <property fmtid="{D5CDD505-2E9C-101B-9397-08002B2CF9AE}" pid="9" name="MSIP_Label_e18d9558-26a3-4f93-8788-04a494c05692_ActionId">
    <vt:lpwstr>c3f7ae65-1400-4dae-8a8a-2f2693168c6a</vt:lpwstr>
  </property>
  <property fmtid="{D5CDD505-2E9C-101B-9397-08002B2CF9AE}" pid="10" name="MSIP_Label_e18d9558-26a3-4f93-8788-04a494c05692_ContentBits">
    <vt:lpwstr>0</vt:lpwstr>
  </property>
  <property fmtid="{D5CDD505-2E9C-101B-9397-08002B2CF9AE}" pid="11" name="ContentTypeId">
    <vt:lpwstr>0x010100C321D70EE086724F83521788BE479192</vt:lpwstr>
  </property>
  <property fmtid="{D5CDD505-2E9C-101B-9397-08002B2CF9AE}" pid="12" name="MediaServiceImageTags">
    <vt:lpwstr/>
  </property>
</Properties>
</file>